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9BE" w:rsidRDefault="00AD36B8">
      <w:pPr>
        <w:spacing w:after="0"/>
        <w:jc w:val="center"/>
      </w:pPr>
      <w:r>
        <w:rPr>
          <w:b/>
          <w:color w:val="0C4E54"/>
          <w:sz w:val="25"/>
        </w:rPr>
        <w:t>[TÜRKİYE İŞ BANKASI A.Ş. / T.C. ZİRAAT BANKASI A.Ş.]</w:t>
      </w:r>
    </w:p>
    <w:p w:rsidR="008F39BE" w:rsidRDefault="00AD36B8">
      <w:pPr>
        <w:spacing w:after="0"/>
        <w:jc w:val="center"/>
      </w:pPr>
      <w:r>
        <w:rPr>
          <w:b/>
        </w:rPr>
        <w:t>Genel Müdürlüğü’ne — Fon Tasfiye Yetkilisi ve Portföy Saklayıcısı Sıfatıyla</w:t>
      </w:r>
    </w:p>
    <w:p w:rsidR="008F39BE" w:rsidRDefault="00AD36B8">
      <w:pPr>
        <w:spacing w:after="40"/>
        <w:jc w:val="center"/>
      </w:pPr>
      <w:r>
        <w:rPr>
          <w:color w:val="5A5957"/>
          <w:sz w:val="20"/>
        </w:rPr>
        <w:t>[Genel Müdürlük adresi]  —  KEP: [●]</w:t>
      </w:r>
    </w:p>
    <w:p w:rsidR="008F39BE" w:rsidRDefault="00AD36B8">
      <w:pPr>
        <w:spacing w:after="200"/>
        <w:jc w:val="center"/>
      </w:pPr>
      <w:r>
        <w:rPr>
          <w:color w:val="5A5957"/>
          <w:sz w:val="19"/>
        </w:rPr>
        <w:t xml:space="preserve">Bilgi: [●] Portföy Yönetimi A.Ş. (Kurucu)  |  Merkezi Kayıt Kuruluşu A.Ş.  |  Sermaye </w:t>
      </w:r>
      <w:r>
        <w:rPr>
          <w:color w:val="5A5957"/>
          <w:sz w:val="19"/>
        </w:rPr>
        <w:t>Piyasası Kurulu</w:t>
      </w:r>
    </w:p>
    <w:tbl>
      <w:tblPr>
        <w:tblStyle w:val="TabloKlavuzu"/>
        <w:tblW w:w="0" w:type="auto"/>
        <w:jc w:val="center"/>
        <w:tblLayout w:type="fixed"/>
        <w:tblLook w:val="04A0" w:firstRow="1" w:lastRow="0" w:firstColumn="1" w:lastColumn="0" w:noHBand="0" w:noVBand="1"/>
      </w:tblPr>
      <w:tblGrid>
        <w:gridCol w:w="2438"/>
        <w:gridCol w:w="6803"/>
      </w:tblGrid>
      <w:tr w:rsidR="008F39BE">
        <w:trPr>
          <w:jc w:val="center"/>
        </w:trPr>
        <w:tc>
          <w:tcPr>
            <w:tcW w:w="2438" w:type="dxa"/>
            <w:shd w:val="clear" w:color="auto" w:fill="EEF3F3"/>
          </w:tcPr>
          <w:p w:rsidR="008F39BE" w:rsidRDefault="00AD36B8">
            <w:pPr>
              <w:spacing w:after="20" w:line="252" w:lineRule="auto"/>
              <w:jc w:val="left"/>
            </w:pPr>
            <w:r>
              <w:rPr>
                <w:b/>
                <w:color w:val="0C4E54"/>
                <w:sz w:val="20"/>
              </w:rPr>
              <w:t>BAŞVURAN</w:t>
            </w:r>
            <w:r>
              <w:rPr>
                <w:b/>
                <w:color w:val="0C4E54"/>
                <w:sz w:val="20"/>
              </w:rPr>
              <w:br/>
              <w:t>(Katılma Payı Sahibi)</w:t>
            </w:r>
          </w:p>
        </w:tc>
        <w:tc>
          <w:tcPr>
            <w:tcW w:w="6803" w:type="dxa"/>
          </w:tcPr>
          <w:p w:rsidR="008F39BE" w:rsidRDefault="00AD36B8">
            <w:pPr>
              <w:spacing w:after="20" w:line="252" w:lineRule="auto"/>
              <w:jc w:val="left"/>
            </w:pPr>
            <w:r>
              <w:rPr>
                <w:sz w:val="20"/>
              </w:rPr>
              <w:t>[Ad Soyad]</w:t>
            </w:r>
            <w:r>
              <w:rPr>
                <w:sz w:val="20"/>
              </w:rPr>
              <w:br/>
              <w:t>T.C. Kimlik No: [●]</w:t>
            </w:r>
            <w:r>
              <w:rPr>
                <w:sz w:val="20"/>
              </w:rPr>
              <w:br/>
              <w:t>Adres: [●]</w:t>
            </w:r>
            <w:r>
              <w:rPr>
                <w:sz w:val="20"/>
              </w:rPr>
              <w:br/>
              <w:t>Aracı kurum / banka ve yatırım hesap no: [●]</w:t>
            </w:r>
          </w:p>
        </w:tc>
      </w:tr>
      <w:tr w:rsidR="008F39BE">
        <w:trPr>
          <w:jc w:val="center"/>
        </w:trPr>
        <w:tc>
          <w:tcPr>
            <w:tcW w:w="2438" w:type="dxa"/>
            <w:shd w:val="clear" w:color="auto" w:fill="EEF3F3"/>
          </w:tcPr>
          <w:p w:rsidR="008F39BE" w:rsidRDefault="00AD36B8">
            <w:pPr>
              <w:spacing w:after="20" w:line="252" w:lineRule="auto"/>
              <w:jc w:val="left"/>
            </w:pPr>
            <w:r>
              <w:rPr>
                <w:b/>
                <w:color w:val="0C4E54"/>
                <w:sz w:val="20"/>
              </w:rPr>
              <w:t>VEKİLİ</w:t>
            </w:r>
          </w:p>
        </w:tc>
        <w:tc>
          <w:tcPr>
            <w:tcW w:w="6803" w:type="dxa"/>
          </w:tcPr>
          <w:p w:rsidR="008F39BE" w:rsidRDefault="00C44540">
            <w:pPr>
              <w:spacing w:after="20" w:line="252" w:lineRule="auto"/>
              <w:jc w:val="left"/>
            </w:pPr>
            <w:r>
              <w:rPr>
                <w:sz w:val="20"/>
              </w:rPr>
              <w:t>Av. ……….</w:t>
            </w:r>
            <w:r w:rsidR="00AD36B8">
              <w:rPr>
                <w:sz w:val="20"/>
              </w:rPr>
              <w:t xml:space="preserve"> — [Baro] Barosu, Sicil No: [●]</w:t>
            </w:r>
            <w:r w:rsidR="00AD36B8">
              <w:rPr>
                <w:sz w:val="20"/>
              </w:rPr>
              <w:br/>
              <w:t>Adres: [●]  |  Tel: [●]  |  E-posta / KEP: [●]</w:t>
            </w:r>
          </w:p>
        </w:tc>
      </w:tr>
      <w:tr w:rsidR="008F39BE">
        <w:trPr>
          <w:jc w:val="center"/>
        </w:trPr>
        <w:tc>
          <w:tcPr>
            <w:tcW w:w="2438" w:type="dxa"/>
            <w:shd w:val="clear" w:color="auto" w:fill="EEF3F3"/>
          </w:tcPr>
          <w:p w:rsidR="008F39BE" w:rsidRDefault="00AD36B8">
            <w:pPr>
              <w:spacing w:after="20" w:line="252" w:lineRule="auto"/>
              <w:jc w:val="left"/>
            </w:pPr>
            <w:r>
              <w:rPr>
                <w:b/>
                <w:color w:val="0C4E54"/>
                <w:sz w:val="20"/>
              </w:rPr>
              <w:t>İLGİLİ FON</w:t>
            </w:r>
          </w:p>
        </w:tc>
        <w:tc>
          <w:tcPr>
            <w:tcW w:w="6803" w:type="dxa"/>
          </w:tcPr>
          <w:p w:rsidR="008F39BE" w:rsidRDefault="00AD36B8">
            <w:pPr>
              <w:spacing w:after="20" w:line="252" w:lineRule="auto"/>
              <w:jc w:val="left"/>
            </w:pPr>
            <w:r>
              <w:rPr>
                <w:sz w:val="20"/>
              </w:rPr>
              <w:t>Fon adı:</w:t>
            </w:r>
            <w:r>
              <w:rPr>
                <w:sz w:val="20"/>
              </w:rPr>
              <w:t xml:space="preserve"> [●]</w:t>
            </w:r>
            <w:r>
              <w:rPr>
                <w:sz w:val="20"/>
              </w:rPr>
              <w:br/>
              <w:t>TEFAS kodu: [●]</w:t>
            </w:r>
            <w:r>
              <w:rPr>
                <w:sz w:val="20"/>
              </w:rPr>
              <w:br/>
              <w:t>Kurucu: [●] Portföy Yönetimi A.Ş.</w:t>
            </w:r>
          </w:p>
        </w:tc>
      </w:tr>
      <w:tr w:rsidR="008F39BE">
        <w:trPr>
          <w:jc w:val="center"/>
        </w:trPr>
        <w:tc>
          <w:tcPr>
            <w:tcW w:w="2438" w:type="dxa"/>
            <w:shd w:val="clear" w:color="auto" w:fill="EEF3F3"/>
          </w:tcPr>
          <w:p w:rsidR="008F39BE" w:rsidRDefault="00AD36B8">
            <w:pPr>
              <w:spacing w:after="20" w:line="252" w:lineRule="auto"/>
              <w:jc w:val="left"/>
            </w:pPr>
            <w:r>
              <w:rPr>
                <w:b/>
                <w:color w:val="0C4E54"/>
                <w:sz w:val="20"/>
              </w:rPr>
              <w:t>DAYANAK KARARLAR</w:t>
            </w:r>
          </w:p>
        </w:tc>
        <w:tc>
          <w:tcPr>
            <w:tcW w:w="6803" w:type="dxa"/>
          </w:tcPr>
          <w:p w:rsidR="008F39BE" w:rsidRDefault="00AD36B8">
            <w:pPr>
              <w:spacing w:after="20" w:line="252" w:lineRule="auto"/>
              <w:jc w:val="left"/>
            </w:pPr>
            <w:r>
              <w:rPr>
                <w:sz w:val="20"/>
              </w:rPr>
              <w:t>SPK Karar Organı’nın 17.09.2026 tarih ve 57/1708 sayılı kararı (2026/60 ve 2026/61 sayılı Bültenler) ile 20.09.2026 tarih ve 59/1710 sayılı kararı (2026/62 sayılı Bülten)</w:t>
            </w:r>
          </w:p>
        </w:tc>
      </w:tr>
      <w:tr w:rsidR="008F39BE">
        <w:trPr>
          <w:jc w:val="center"/>
        </w:trPr>
        <w:tc>
          <w:tcPr>
            <w:tcW w:w="2438" w:type="dxa"/>
            <w:shd w:val="clear" w:color="auto" w:fill="EEF3F3"/>
          </w:tcPr>
          <w:p w:rsidR="008F39BE" w:rsidRDefault="00AD36B8">
            <w:pPr>
              <w:spacing w:after="20" w:line="252" w:lineRule="auto"/>
              <w:jc w:val="left"/>
            </w:pPr>
            <w:r>
              <w:rPr>
                <w:b/>
                <w:color w:val="0C4E54"/>
                <w:sz w:val="20"/>
              </w:rPr>
              <w:t>KONU</w:t>
            </w:r>
          </w:p>
        </w:tc>
        <w:tc>
          <w:tcPr>
            <w:tcW w:w="6803" w:type="dxa"/>
          </w:tcPr>
          <w:p w:rsidR="008F39BE" w:rsidRDefault="00AD36B8">
            <w:pPr>
              <w:spacing w:after="20" w:line="252" w:lineRule="auto"/>
              <w:jc w:val="left"/>
            </w:pPr>
            <w:r>
              <w:rPr>
                <w:sz w:val="20"/>
              </w:rPr>
              <w:t>Tasfiy</w:t>
            </w:r>
            <w:r>
              <w:rPr>
                <w:sz w:val="20"/>
              </w:rPr>
              <w:t xml:space="preserve">eye alınan fonda müvekkile ait katılma paylarının, verilmiş iade talimatlarının ve tasfiye payı alacağının tespiti; hesaplama yöntemine ilişkin bilgi ve belgelerin yazılı olarak verilmesi; ilgili tüm kayıtların muhafazası ve yatırımcı haklarının korunması </w:t>
            </w:r>
            <w:r>
              <w:rPr>
                <w:sz w:val="20"/>
              </w:rPr>
              <w:t>talebidir.</w:t>
            </w:r>
          </w:p>
        </w:tc>
      </w:tr>
    </w:tbl>
    <w:p w:rsidR="008F39BE" w:rsidRDefault="008F39BE">
      <w:pPr>
        <w:spacing w:after="0"/>
      </w:pPr>
    </w:p>
    <w:p w:rsidR="008F39BE" w:rsidRDefault="00AD36B8">
      <w:pPr>
        <w:keepNext/>
        <w:pBdr>
          <w:bottom w:val="single" w:sz="6" w:space="1" w:color="0C4E54"/>
        </w:pBdr>
        <w:spacing w:before="240"/>
      </w:pPr>
      <w:r>
        <w:rPr>
          <w:b/>
          <w:color w:val="0C4E54"/>
          <w:sz w:val="23"/>
        </w:rPr>
        <w:t>I. AÇIKLAMALAR</w:t>
      </w:r>
    </w:p>
    <w:p w:rsidR="008F39BE" w:rsidRDefault="00AD36B8">
      <w:pPr>
        <w:tabs>
          <w:tab w:val="left" w:pos="454"/>
        </w:tabs>
        <w:ind w:left="454" w:hanging="454"/>
      </w:pPr>
      <w:r>
        <w:rPr>
          <w:b/>
        </w:rPr>
        <w:t>1.</w:t>
      </w:r>
      <w:r>
        <w:rPr>
          <w:b/>
        </w:rPr>
        <w:tab/>
      </w:r>
      <w:r>
        <w:t xml:space="preserve">Müvekkil, yukarıda bilgileri yer alan fonda, [aracı kurum/banka] nezdindeki [●] numaralı yatırım hesabı aracılığıyla </w:t>
      </w:r>
      <w:r>
        <w:rPr>
          <w:b/>
        </w:rPr>
        <w:t>[●] adet katılma payına</w:t>
      </w:r>
      <w:r>
        <w:t xml:space="preserve"> sahiptir. Söz konusu paylar [ilk alım tarihi] – [son alım tarihi] arasında, toplam </w:t>
      </w:r>
      <w:r>
        <w:rPr>
          <w:b/>
        </w:rPr>
        <w:t>[●] TL</w:t>
      </w:r>
      <w:r>
        <w:t xml:space="preserve"> yatırım maliyetiyle edinilmiştir (Ek-2, Ek-3).</w:t>
      </w:r>
    </w:p>
    <w:p w:rsidR="008F39BE" w:rsidRDefault="00AD36B8">
      <w:pPr>
        <w:tabs>
          <w:tab w:val="left" w:pos="454"/>
        </w:tabs>
        <w:ind w:left="454" w:hanging="454"/>
      </w:pPr>
      <w:r>
        <w:rPr>
          <w:b/>
        </w:rPr>
        <w:t>2.</w:t>
      </w:r>
      <w:r>
        <w:rPr>
          <w:b/>
        </w:rPr>
        <w:tab/>
      </w:r>
      <w:r>
        <w:t>Sermaye Piyasası Kurulu, 17.09.2026 tarih ve 57/1708 sayılı kararıyla yedi portföy yönetim şirketinin kurucusu olduğu fonların TEFAS’taki işlemlerini durdurmuş; aralarında müvekkilin yatırımcısı oldu</w:t>
      </w:r>
      <w:r>
        <w:t>ğu fonun da bulunduğu 131 fonu tasfiye kapsamına almış ve tasfiye usul ve esaslarını belirlemiştir. Kamuya açıklanan bilgilere göre Tera Portföy Yönetimi A.Ş.’nin fonlarında Türkiye İş Bankası A.Ş., diğer altı portföy yönetim şirketinin fonlarında ise T.C.</w:t>
      </w:r>
      <w:r>
        <w:t xml:space="preserve"> Ziraat Bankası A.Ş. portföy saklayıcısı sıfatıyla tasfiye işlemlerini yürütmektedir.</w:t>
      </w:r>
    </w:p>
    <w:p w:rsidR="008F39BE" w:rsidRDefault="00AD36B8">
      <w:pPr>
        <w:tabs>
          <w:tab w:val="left" w:pos="454"/>
        </w:tabs>
        <w:ind w:left="454" w:hanging="454"/>
      </w:pPr>
      <w:r>
        <w:rPr>
          <w:b/>
        </w:rPr>
        <w:t>3.</w:t>
      </w:r>
      <w:r>
        <w:rPr>
          <w:b/>
        </w:rPr>
        <w:tab/>
      </w:r>
      <w:r>
        <w:t>Tasfiye usul ve esaslarına göre; tedavüldeki katılma payları, bireysel saklama hesapları, paylar üzerindeki rehin, haciz ve tedbirler ile gerçekleşmemiş emirler bakımı</w:t>
      </w:r>
      <w:r>
        <w:t>ndan Merkezi Kayıt Kuruluşu ile saklayıcı banka arasında mutabakat yapılacak; fon varlıkları satış talimatlarıyla nakde çevrilecek ve elde edilen nakit, katılma payı sahiplerinin bireysel saklama hesaplarına pay oranında aktarılacaktır. Kurul, 20.09.2026 t</w:t>
      </w:r>
      <w:r>
        <w:t>arih ve 59/1710 sayılı kararıyla tasfiye süresini üç aydan altı aya çıkarmıştır.</w:t>
      </w:r>
    </w:p>
    <w:p w:rsidR="008F39BE" w:rsidRDefault="00AD36B8">
      <w:pPr>
        <w:tabs>
          <w:tab w:val="left" w:pos="454"/>
        </w:tabs>
        <w:ind w:left="454" w:hanging="454"/>
      </w:pPr>
      <w:r>
        <w:rPr>
          <w:b/>
        </w:rPr>
        <w:t>4.</w:t>
      </w:r>
      <w:r>
        <w:rPr>
          <w:b/>
        </w:rPr>
        <w:tab/>
      </w:r>
      <w:r>
        <w:t>Aynı esaslar uyarınca, ihbarlı fonlarda 17.09.2026 saat 13.30’dan sonra iletilen iade talimatları tasfiye esaslarına tabi tutulmakta; TEFAS’ta gerçekleşmeyen satım emirleri</w:t>
      </w:r>
      <w:r>
        <w:t>nin tutarı ise “fon hesabına borç” olarak tahakkuk ettirilip öncelikli olarak ödenecektir. Bu durum, yatırımcılar arasında iki ayrı ödeme sırası doğurmakta; ancak öncelikli tutarın hangi tarihli birim pay değeri üzerinden hesaplanacağı kamuya açık belgeler</w:t>
      </w:r>
      <w:r>
        <w:t>den açıkça anlaşılamamaktadır.</w:t>
      </w:r>
    </w:p>
    <w:p w:rsidR="008F39BE" w:rsidRDefault="00AD36B8">
      <w:pPr>
        <w:tabs>
          <w:tab w:val="left" w:pos="454"/>
        </w:tabs>
        <w:ind w:left="454" w:hanging="454"/>
      </w:pPr>
      <w:r>
        <w:rPr>
          <w:b/>
        </w:rPr>
        <w:t>5.</w:t>
      </w:r>
      <w:r>
        <w:rPr>
          <w:b/>
        </w:rPr>
        <w:tab/>
      </w:r>
      <w:r>
        <w:t xml:space="preserve">Müvekkil, [tarih ve saat] tarihinde [●] adet katılma payı için iade (geri alım) talimatı vermiş; ancak talimat [gerçekleşmemiş / kısmen gerçekleşmiş]tir (Ek-4). </w:t>
      </w:r>
      <w:r>
        <w:rPr>
          <w:b/>
        </w:rPr>
        <w:t xml:space="preserve">[İade talimatı verilmemişse bu paragraf </w:t>
      </w:r>
      <w:r>
        <w:rPr>
          <w:b/>
        </w:rPr>
        <w:lastRenderedPageBreak/>
        <w:t>çıkarılacaktır.]</w:t>
      </w:r>
      <w:r>
        <w:t xml:space="preserve"> Müve</w:t>
      </w:r>
      <w:r>
        <w:t>kkilin alacağının hangi ödeme sırasında ve hangi birim pay değeri üzerinden hesaplanacağı, doğrudan malvarlığı haklarını etkilemektedir.</w:t>
      </w:r>
    </w:p>
    <w:p w:rsidR="008F39BE" w:rsidRDefault="00AD36B8">
      <w:pPr>
        <w:tabs>
          <w:tab w:val="left" w:pos="454"/>
        </w:tabs>
        <w:ind w:left="454" w:hanging="454"/>
      </w:pPr>
      <w:r>
        <w:rPr>
          <w:b/>
        </w:rPr>
        <w:t>6.</w:t>
      </w:r>
      <w:r>
        <w:rPr>
          <w:b/>
        </w:rPr>
        <w:tab/>
      </w:r>
      <w:r>
        <w:t>Tasfiye süreci, fon portföyündeki varlıkların satılarak nakde çevrilmesini içerdiğinden; portföyün tasfiye tarihinde</w:t>
      </w:r>
      <w:r>
        <w:t>ki bileşimi, değerleme yöntemi, emir kayıtları ve mutabakat tutanakları gibi bilgilerin sonradan yeniden oluşturulması güçleşecektir. Müvekkilin alacağının doğru hesaplanabilmesi, ileride doğabilecek uyuşmazlıklarda hakların ispatı ve olası sorumluların te</w:t>
      </w:r>
      <w:r>
        <w:t>spiti bakımından bu bilgilerin şimdiden yazılı olarak verilmesi ve kayıtların muhafazası zorunludur.</w:t>
      </w:r>
    </w:p>
    <w:p w:rsidR="008F39BE" w:rsidRDefault="00AD36B8">
      <w:pPr>
        <w:keepNext/>
        <w:pBdr>
          <w:bottom w:val="single" w:sz="6" w:space="1" w:color="0C4E54"/>
        </w:pBdr>
        <w:spacing w:before="240"/>
      </w:pPr>
      <w:r>
        <w:rPr>
          <w:b/>
          <w:color w:val="0C4E54"/>
          <w:sz w:val="23"/>
        </w:rPr>
        <w:t>II. YAZILI OLARAK BİLDİRİLMESİ TALEP EDİLEN BİLGİ VE BELGELER</w:t>
      </w:r>
    </w:p>
    <w:p w:rsidR="008F39BE" w:rsidRDefault="00AD36B8">
      <w:r>
        <w:t>Müvekkilin tasfiye payı alacağının doğru hesaplanabilmesi için aşağıdaki bilgi ve belgelerin,</w:t>
      </w:r>
      <w:r>
        <w:t xml:space="preserve"> dayanaklarıyla birlikte yazılı olarak bildirilmesini talep ederiz:</w:t>
      </w:r>
    </w:p>
    <w:tbl>
      <w:tblPr>
        <w:tblStyle w:val="TabloKlavuzu"/>
        <w:tblW w:w="0" w:type="auto"/>
        <w:jc w:val="center"/>
        <w:tblLayout w:type="fixed"/>
        <w:tblLook w:val="04A0" w:firstRow="1" w:lastRow="0" w:firstColumn="1" w:lastColumn="0" w:noHBand="0" w:noVBand="1"/>
      </w:tblPr>
      <w:tblGrid>
        <w:gridCol w:w="567"/>
        <w:gridCol w:w="5839"/>
        <w:gridCol w:w="2835"/>
      </w:tblGrid>
      <w:tr w:rsidR="008F39BE">
        <w:trPr>
          <w:jc w:val="center"/>
        </w:trPr>
        <w:tc>
          <w:tcPr>
            <w:tcW w:w="567" w:type="dxa"/>
            <w:shd w:val="clear" w:color="auto" w:fill="0C4E54"/>
          </w:tcPr>
          <w:p w:rsidR="008F39BE" w:rsidRDefault="00AD36B8">
            <w:r>
              <w:rPr>
                <w:b/>
                <w:color w:val="FFFFFF"/>
                <w:sz w:val="19"/>
              </w:rPr>
              <w:t>No</w:t>
            </w:r>
          </w:p>
        </w:tc>
        <w:tc>
          <w:tcPr>
            <w:tcW w:w="5839" w:type="dxa"/>
            <w:shd w:val="clear" w:color="auto" w:fill="0C4E54"/>
          </w:tcPr>
          <w:p w:rsidR="008F39BE" w:rsidRDefault="00AD36B8">
            <w:r>
              <w:rPr>
                <w:b/>
                <w:color w:val="FFFFFF"/>
                <w:sz w:val="19"/>
              </w:rPr>
              <w:t>Talep edilen bilgi / belge</w:t>
            </w:r>
          </w:p>
        </w:tc>
        <w:tc>
          <w:tcPr>
            <w:tcW w:w="2835" w:type="dxa"/>
            <w:shd w:val="clear" w:color="auto" w:fill="0C4E54"/>
          </w:tcPr>
          <w:p w:rsidR="008F39BE" w:rsidRDefault="00AD36B8">
            <w:r>
              <w:rPr>
                <w:b/>
                <w:color w:val="FFFFFF"/>
                <w:sz w:val="19"/>
              </w:rPr>
              <w:t>Amacı</w:t>
            </w:r>
          </w:p>
        </w:tc>
      </w:tr>
      <w:tr w:rsidR="008F39BE">
        <w:trPr>
          <w:jc w:val="center"/>
        </w:trPr>
        <w:tc>
          <w:tcPr>
            <w:tcW w:w="9241" w:type="dxa"/>
            <w:gridSpan w:val="3"/>
            <w:shd w:val="clear" w:color="auto" w:fill="D9E6E6"/>
          </w:tcPr>
          <w:p w:rsidR="008F39BE" w:rsidRDefault="00AD36B8">
            <w:pPr>
              <w:spacing w:after="20" w:line="252" w:lineRule="auto"/>
              <w:jc w:val="left"/>
            </w:pPr>
            <w:r>
              <w:rPr>
                <w:b/>
                <w:color w:val="0C4E54"/>
                <w:sz w:val="19"/>
              </w:rPr>
              <w:t>A. Pay ve hesap durumu</w:t>
            </w:r>
          </w:p>
        </w:tc>
      </w:tr>
      <w:tr w:rsidR="008F39BE">
        <w:trPr>
          <w:jc w:val="center"/>
        </w:trPr>
        <w:tc>
          <w:tcPr>
            <w:tcW w:w="567" w:type="dxa"/>
            <w:shd w:val="clear" w:color="auto" w:fill="F4F7F7"/>
          </w:tcPr>
          <w:p w:rsidR="008F39BE" w:rsidRDefault="00AD36B8">
            <w:pPr>
              <w:spacing w:after="20" w:line="252" w:lineRule="auto"/>
              <w:jc w:val="left"/>
            </w:pPr>
            <w:r>
              <w:rPr>
                <w:sz w:val="19"/>
              </w:rPr>
              <w:t>1</w:t>
            </w:r>
          </w:p>
        </w:tc>
        <w:tc>
          <w:tcPr>
            <w:tcW w:w="5839" w:type="dxa"/>
            <w:shd w:val="clear" w:color="auto" w:fill="F4F7F7"/>
          </w:tcPr>
          <w:p w:rsidR="008F39BE" w:rsidRDefault="00AD36B8">
            <w:pPr>
              <w:spacing w:after="20" w:line="252" w:lineRule="auto"/>
              <w:jc w:val="left"/>
            </w:pPr>
            <w:r>
              <w:rPr>
                <w:sz w:val="19"/>
              </w:rPr>
              <w:t xml:space="preserve">Müvekkilin tasfiye başlangıç tarihi (17.09.2026) itibarıyla MKK kayıtlarına göre sahip olduğu katılma payı adedi ve </w:t>
            </w:r>
            <w:r>
              <w:rPr>
                <w:sz w:val="19"/>
              </w:rPr>
              <w:t>MKK–saklayıcı mutabakatının sonucu</w:t>
            </w:r>
          </w:p>
        </w:tc>
        <w:tc>
          <w:tcPr>
            <w:tcW w:w="2835" w:type="dxa"/>
            <w:shd w:val="clear" w:color="auto" w:fill="F4F7F7"/>
          </w:tcPr>
          <w:p w:rsidR="008F39BE" w:rsidRDefault="00AD36B8">
            <w:pPr>
              <w:spacing w:after="20" w:line="252" w:lineRule="auto"/>
              <w:jc w:val="left"/>
            </w:pPr>
            <w:r>
              <w:rPr>
                <w:sz w:val="19"/>
              </w:rPr>
              <w:t>Hak sahipliğinin kesinleştirilmesi</w:t>
            </w:r>
          </w:p>
        </w:tc>
      </w:tr>
      <w:tr w:rsidR="008F39BE">
        <w:trPr>
          <w:jc w:val="center"/>
        </w:trPr>
        <w:tc>
          <w:tcPr>
            <w:tcW w:w="567" w:type="dxa"/>
          </w:tcPr>
          <w:p w:rsidR="008F39BE" w:rsidRDefault="00AD36B8">
            <w:pPr>
              <w:spacing w:after="20" w:line="252" w:lineRule="auto"/>
              <w:jc w:val="left"/>
            </w:pPr>
            <w:r>
              <w:rPr>
                <w:sz w:val="19"/>
              </w:rPr>
              <w:t>2</w:t>
            </w:r>
          </w:p>
        </w:tc>
        <w:tc>
          <w:tcPr>
            <w:tcW w:w="5839" w:type="dxa"/>
          </w:tcPr>
          <w:p w:rsidR="008F39BE" w:rsidRDefault="00AD36B8">
            <w:pPr>
              <w:spacing w:after="20" w:line="252" w:lineRule="auto"/>
              <w:jc w:val="left"/>
            </w:pPr>
            <w:r>
              <w:rPr>
                <w:sz w:val="19"/>
              </w:rPr>
              <w:t>Müvekkil payları üzerinde rehin, haciz, tedbir veya başka bir kısıtlama bulunup bulunmadığı</w:t>
            </w:r>
          </w:p>
        </w:tc>
        <w:tc>
          <w:tcPr>
            <w:tcW w:w="2835" w:type="dxa"/>
          </w:tcPr>
          <w:p w:rsidR="008F39BE" w:rsidRDefault="00AD36B8">
            <w:pPr>
              <w:spacing w:after="20" w:line="252" w:lineRule="auto"/>
              <w:jc w:val="left"/>
            </w:pPr>
            <w:r>
              <w:rPr>
                <w:sz w:val="19"/>
              </w:rPr>
              <w:t>Ödemeye engel hâllerin önceden bilinmesi</w:t>
            </w:r>
          </w:p>
        </w:tc>
      </w:tr>
      <w:tr w:rsidR="008F39BE">
        <w:trPr>
          <w:jc w:val="center"/>
        </w:trPr>
        <w:tc>
          <w:tcPr>
            <w:tcW w:w="9241" w:type="dxa"/>
            <w:gridSpan w:val="3"/>
            <w:shd w:val="clear" w:color="auto" w:fill="D9E6E6"/>
          </w:tcPr>
          <w:p w:rsidR="008F39BE" w:rsidRDefault="00AD36B8">
            <w:pPr>
              <w:spacing w:after="20" w:line="252" w:lineRule="auto"/>
              <w:jc w:val="left"/>
            </w:pPr>
            <w:r>
              <w:rPr>
                <w:b/>
                <w:color w:val="0C4E54"/>
                <w:sz w:val="19"/>
              </w:rPr>
              <w:t>B. İade talimatları</w:t>
            </w:r>
          </w:p>
        </w:tc>
      </w:tr>
      <w:tr w:rsidR="008F39BE">
        <w:trPr>
          <w:jc w:val="center"/>
        </w:trPr>
        <w:tc>
          <w:tcPr>
            <w:tcW w:w="567" w:type="dxa"/>
          </w:tcPr>
          <w:p w:rsidR="008F39BE" w:rsidRDefault="00AD36B8">
            <w:pPr>
              <w:spacing w:after="20" w:line="252" w:lineRule="auto"/>
              <w:jc w:val="left"/>
            </w:pPr>
            <w:r>
              <w:rPr>
                <w:sz w:val="19"/>
              </w:rPr>
              <w:t>3</w:t>
            </w:r>
          </w:p>
        </w:tc>
        <w:tc>
          <w:tcPr>
            <w:tcW w:w="5839" w:type="dxa"/>
          </w:tcPr>
          <w:p w:rsidR="008F39BE" w:rsidRDefault="00AD36B8">
            <w:pPr>
              <w:spacing w:after="20" w:line="252" w:lineRule="auto"/>
              <w:jc w:val="left"/>
            </w:pPr>
            <w:r>
              <w:rPr>
                <w:sz w:val="19"/>
              </w:rPr>
              <w:t xml:space="preserve">Müvekkilin verdiği tüm </w:t>
            </w:r>
            <w:r>
              <w:rPr>
                <w:sz w:val="19"/>
              </w:rPr>
              <w:t>alım ve iade talimatlarının tarih, saat, adet ve gerçekleşme durumunu gösteren döküm</w:t>
            </w:r>
          </w:p>
        </w:tc>
        <w:tc>
          <w:tcPr>
            <w:tcW w:w="2835" w:type="dxa"/>
          </w:tcPr>
          <w:p w:rsidR="008F39BE" w:rsidRDefault="00AD36B8">
            <w:pPr>
              <w:spacing w:after="20" w:line="252" w:lineRule="auto"/>
              <w:jc w:val="left"/>
            </w:pPr>
            <w:r>
              <w:rPr>
                <w:sz w:val="19"/>
              </w:rPr>
              <w:t>Emir sırasının ispatı</w:t>
            </w:r>
          </w:p>
        </w:tc>
      </w:tr>
      <w:tr w:rsidR="008F39BE">
        <w:trPr>
          <w:jc w:val="center"/>
        </w:trPr>
        <w:tc>
          <w:tcPr>
            <w:tcW w:w="567" w:type="dxa"/>
            <w:shd w:val="clear" w:color="auto" w:fill="F4F7F7"/>
          </w:tcPr>
          <w:p w:rsidR="008F39BE" w:rsidRDefault="00AD36B8">
            <w:pPr>
              <w:spacing w:after="20" w:line="252" w:lineRule="auto"/>
              <w:jc w:val="left"/>
            </w:pPr>
            <w:r>
              <w:rPr>
                <w:sz w:val="19"/>
              </w:rPr>
              <w:t>4</w:t>
            </w:r>
          </w:p>
        </w:tc>
        <w:tc>
          <w:tcPr>
            <w:tcW w:w="5839" w:type="dxa"/>
            <w:shd w:val="clear" w:color="auto" w:fill="F4F7F7"/>
          </w:tcPr>
          <w:p w:rsidR="008F39BE" w:rsidRDefault="00AD36B8">
            <w:pPr>
              <w:spacing w:after="20" w:line="252" w:lineRule="auto"/>
              <w:jc w:val="left"/>
            </w:pPr>
            <w:r>
              <w:rPr>
                <w:sz w:val="19"/>
              </w:rPr>
              <w:t>Gerçekleşmeyen talimatların “fon hesabına borç” olarak tahakkuk ettirilip ettirilmediği; tahakkuk tutarı ve hesaplamaya esas birim pay değerinin t</w:t>
            </w:r>
            <w:r>
              <w:rPr>
                <w:sz w:val="19"/>
              </w:rPr>
              <w:t>arihi</w:t>
            </w:r>
          </w:p>
        </w:tc>
        <w:tc>
          <w:tcPr>
            <w:tcW w:w="2835" w:type="dxa"/>
            <w:shd w:val="clear" w:color="auto" w:fill="F4F7F7"/>
          </w:tcPr>
          <w:p w:rsidR="008F39BE" w:rsidRDefault="00AD36B8">
            <w:pPr>
              <w:spacing w:after="20" w:line="252" w:lineRule="auto"/>
              <w:jc w:val="left"/>
            </w:pPr>
            <w:r>
              <w:rPr>
                <w:sz w:val="19"/>
              </w:rPr>
              <w:t>Öncelikli ödeme hakkının tespiti</w:t>
            </w:r>
          </w:p>
        </w:tc>
      </w:tr>
      <w:tr w:rsidR="008F39BE">
        <w:trPr>
          <w:jc w:val="center"/>
        </w:trPr>
        <w:tc>
          <w:tcPr>
            <w:tcW w:w="9241" w:type="dxa"/>
            <w:gridSpan w:val="3"/>
            <w:shd w:val="clear" w:color="auto" w:fill="D9E6E6"/>
          </w:tcPr>
          <w:p w:rsidR="008F39BE" w:rsidRDefault="00AD36B8">
            <w:pPr>
              <w:spacing w:after="20" w:line="252" w:lineRule="auto"/>
              <w:jc w:val="left"/>
            </w:pPr>
            <w:r>
              <w:rPr>
                <w:b/>
                <w:color w:val="0C4E54"/>
                <w:sz w:val="19"/>
              </w:rPr>
              <w:t>C. Değerleme ve hesaplama</w:t>
            </w:r>
          </w:p>
        </w:tc>
      </w:tr>
      <w:tr w:rsidR="008F39BE">
        <w:trPr>
          <w:jc w:val="center"/>
        </w:trPr>
        <w:tc>
          <w:tcPr>
            <w:tcW w:w="567" w:type="dxa"/>
            <w:shd w:val="clear" w:color="auto" w:fill="F4F7F7"/>
          </w:tcPr>
          <w:p w:rsidR="008F39BE" w:rsidRDefault="00AD36B8">
            <w:pPr>
              <w:spacing w:after="20" w:line="252" w:lineRule="auto"/>
              <w:jc w:val="left"/>
            </w:pPr>
            <w:r>
              <w:rPr>
                <w:sz w:val="19"/>
              </w:rPr>
              <w:t>5</w:t>
            </w:r>
          </w:p>
        </w:tc>
        <w:tc>
          <w:tcPr>
            <w:tcW w:w="5839" w:type="dxa"/>
            <w:shd w:val="clear" w:color="auto" w:fill="F4F7F7"/>
          </w:tcPr>
          <w:p w:rsidR="008F39BE" w:rsidRDefault="00AD36B8">
            <w:pPr>
              <w:spacing w:after="20" w:line="252" w:lineRule="auto"/>
              <w:jc w:val="left"/>
            </w:pPr>
            <w:r>
              <w:rPr>
                <w:sz w:val="19"/>
              </w:rPr>
              <w:t>Tasfiye tarihindeki fon toplam değeri, birim pay değeri ve bu değerin hesaplanmasında kullanılan fiyat kaynakları ile değerleme yöntemi</w:t>
            </w:r>
          </w:p>
        </w:tc>
        <w:tc>
          <w:tcPr>
            <w:tcW w:w="2835" w:type="dxa"/>
            <w:shd w:val="clear" w:color="auto" w:fill="F4F7F7"/>
          </w:tcPr>
          <w:p w:rsidR="008F39BE" w:rsidRDefault="00AD36B8">
            <w:pPr>
              <w:spacing w:after="20" w:line="252" w:lineRule="auto"/>
              <w:jc w:val="left"/>
            </w:pPr>
            <w:r>
              <w:rPr>
                <w:sz w:val="19"/>
              </w:rPr>
              <w:t>Hesabın denetlenebilmesi</w:t>
            </w:r>
          </w:p>
        </w:tc>
      </w:tr>
      <w:tr w:rsidR="008F39BE">
        <w:trPr>
          <w:jc w:val="center"/>
        </w:trPr>
        <w:tc>
          <w:tcPr>
            <w:tcW w:w="567" w:type="dxa"/>
          </w:tcPr>
          <w:p w:rsidR="008F39BE" w:rsidRDefault="00AD36B8">
            <w:pPr>
              <w:spacing w:after="20" w:line="252" w:lineRule="auto"/>
              <w:jc w:val="left"/>
            </w:pPr>
            <w:r>
              <w:rPr>
                <w:sz w:val="19"/>
              </w:rPr>
              <w:t>6</w:t>
            </w:r>
          </w:p>
        </w:tc>
        <w:tc>
          <w:tcPr>
            <w:tcW w:w="5839" w:type="dxa"/>
          </w:tcPr>
          <w:p w:rsidR="008F39BE" w:rsidRDefault="00AD36B8">
            <w:pPr>
              <w:spacing w:after="20" w:line="252" w:lineRule="auto"/>
              <w:jc w:val="left"/>
            </w:pPr>
            <w:r>
              <w:rPr>
                <w:sz w:val="19"/>
              </w:rPr>
              <w:t xml:space="preserve">Fonun tasfiye </w:t>
            </w:r>
            <w:r>
              <w:rPr>
                <w:sz w:val="19"/>
              </w:rPr>
              <w:t>tarihindeki ayrıntılı portföy dağılımı (varlık türü, ihraççı, adet, değer ve portföy içindeki oran)</w:t>
            </w:r>
          </w:p>
        </w:tc>
        <w:tc>
          <w:tcPr>
            <w:tcW w:w="2835" w:type="dxa"/>
          </w:tcPr>
          <w:p w:rsidR="008F39BE" w:rsidRDefault="00AD36B8">
            <w:pPr>
              <w:spacing w:after="20" w:line="252" w:lineRule="auto"/>
              <w:jc w:val="left"/>
            </w:pPr>
            <w:r>
              <w:rPr>
                <w:sz w:val="19"/>
              </w:rPr>
              <w:t>Varlık bazında izlenebilirlik</w:t>
            </w:r>
          </w:p>
        </w:tc>
      </w:tr>
      <w:tr w:rsidR="008F39BE">
        <w:trPr>
          <w:jc w:val="center"/>
        </w:trPr>
        <w:tc>
          <w:tcPr>
            <w:tcW w:w="567" w:type="dxa"/>
            <w:shd w:val="clear" w:color="auto" w:fill="F4F7F7"/>
          </w:tcPr>
          <w:p w:rsidR="008F39BE" w:rsidRDefault="00AD36B8">
            <w:pPr>
              <w:spacing w:after="20" w:line="252" w:lineRule="auto"/>
              <w:jc w:val="left"/>
            </w:pPr>
            <w:r>
              <w:rPr>
                <w:sz w:val="19"/>
              </w:rPr>
              <w:t>7</w:t>
            </w:r>
          </w:p>
        </w:tc>
        <w:tc>
          <w:tcPr>
            <w:tcW w:w="5839" w:type="dxa"/>
            <w:shd w:val="clear" w:color="auto" w:fill="F4F7F7"/>
          </w:tcPr>
          <w:p w:rsidR="008F39BE" w:rsidRDefault="00AD36B8">
            <w:pPr>
              <w:spacing w:after="20" w:line="252" w:lineRule="auto"/>
              <w:jc w:val="left"/>
            </w:pPr>
            <w:r>
              <w:rPr>
                <w:sz w:val="19"/>
              </w:rPr>
              <w:t xml:space="preserve">Tasfiye süresince yapılan satışların tarih, adet, fiyat ve karşı taraf bilgilerini gösteren döküm ile tasfiyeden </w:t>
            </w:r>
            <w:r>
              <w:rPr>
                <w:sz w:val="19"/>
              </w:rPr>
              <w:t>karşılanacak masraf ve komisyon kalemleri</w:t>
            </w:r>
          </w:p>
        </w:tc>
        <w:tc>
          <w:tcPr>
            <w:tcW w:w="2835" w:type="dxa"/>
            <w:shd w:val="clear" w:color="auto" w:fill="F4F7F7"/>
          </w:tcPr>
          <w:p w:rsidR="008F39BE" w:rsidRDefault="00AD36B8">
            <w:pPr>
              <w:spacing w:after="20" w:line="252" w:lineRule="auto"/>
              <w:jc w:val="left"/>
            </w:pPr>
            <w:r>
              <w:rPr>
                <w:sz w:val="19"/>
              </w:rPr>
              <w:t>Satışların piyasa koşullarına uygunluğunun denetimi</w:t>
            </w:r>
          </w:p>
        </w:tc>
      </w:tr>
      <w:tr w:rsidR="008F39BE">
        <w:trPr>
          <w:jc w:val="center"/>
        </w:trPr>
        <w:tc>
          <w:tcPr>
            <w:tcW w:w="567" w:type="dxa"/>
          </w:tcPr>
          <w:p w:rsidR="008F39BE" w:rsidRDefault="00AD36B8">
            <w:pPr>
              <w:spacing w:after="20" w:line="252" w:lineRule="auto"/>
              <w:jc w:val="left"/>
            </w:pPr>
            <w:r>
              <w:rPr>
                <w:sz w:val="19"/>
              </w:rPr>
              <w:t>8</w:t>
            </w:r>
          </w:p>
        </w:tc>
        <w:tc>
          <w:tcPr>
            <w:tcW w:w="5839" w:type="dxa"/>
          </w:tcPr>
          <w:p w:rsidR="008F39BE" w:rsidRDefault="00AD36B8">
            <w:pPr>
              <w:spacing w:after="20" w:line="252" w:lineRule="auto"/>
              <w:jc w:val="left"/>
            </w:pPr>
            <w:r>
              <w:rPr>
                <w:sz w:val="19"/>
              </w:rPr>
              <w:t>Müvekkile ödenecek tutarın hesap tablosu ve pay oranının belirlenme yöntemi</w:t>
            </w:r>
          </w:p>
        </w:tc>
        <w:tc>
          <w:tcPr>
            <w:tcW w:w="2835" w:type="dxa"/>
          </w:tcPr>
          <w:p w:rsidR="008F39BE" w:rsidRDefault="00AD36B8">
            <w:pPr>
              <w:spacing w:after="20" w:line="252" w:lineRule="auto"/>
              <w:jc w:val="left"/>
            </w:pPr>
            <w:r>
              <w:rPr>
                <w:sz w:val="19"/>
              </w:rPr>
              <w:t>Alacağın kesinleştirilmesi</w:t>
            </w:r>
          </w:p>
        </w:tc>
      </w:tr>
      <w:tr w:rsidR="008F39BE">
        <w:trPr>
          <w:jc w:val="center"/>
        </w:trPr>
        <w:tc>
          <w:tcPr>
            <w:tcW w:w="9241" w:type="dxa"/>
            <w:gridSpan w:val="3"/>
            <w:shd w:val="clear" w:color="auto" w:fill="D9E6E6"/>
          </w:tcPr>
          <w:p w:rsidR="008F39BE" w:rsidRDefault="00AD36B8">
            <w:pPr>
              <w:spacing w:after="20" w:line="252" w:lineRule="auto"/>
              <w:jc w:val="left"/>
            </w:pPr>
            <w:r>
              <w:rPr>
                <w:b/>
                <w:color w:val="0C4E54"/>
                <w:sz w:val="19"/>
              </w:rPr>
              <w:t>D. Ödeme</w:t>
            </w:r>
          </w:p>
        </w:tc>
      </w:tr>
      <w:tr w:rsidR="008F39BE">
        <w:trPr>
          <w:jc w:val="center"/>
        </w:trPr>
        <w:tc>
          <w:tcPr>
            <w:tcW w:w="567" w:type="dxa"/>
          </w:tcPr>
          <w:p w:rsidR="008F39BE" w:rsidRDefault="00AD36B8">
            <w:pPr>
              <w:spacing w:after="20" w:line="252" w:lineRule="auto"/>
              <w:jc w:val="left"/>
            </w:pPr>
            <w:r>
              <w:rPr>
                <w:sz w:val="19"/>
              </w:rPr>
              <w:t>9</w:t>
            </w:r>
          </w:p>
        </w:tc>
        <w:tc>
          <w:tcPr>
            <w:tcW w:w="5839" w:type="dxa"/>
          </w:tcPr>
          <w:p w:rsidR="008F39BE" w:rsidRDefault="00AD36B8">
            <w:pPr>
              <w:spacing w:after="20" w:line="252" w:lineRule="auto"/>
              <w:jc w:val="left"/>
            </w:pPr>
            <w:r>
              <w:rPr>
                <w:sz w:val="19"/>
              </w:rPr>
              <w:t xml:space="preserve">Ödemenin öngörülen tarihi / takvimi, kısmi </w:t>
            </w:r>
            <w:r>
              <w:rPr>
                <w:sz w:val="19"/>
              </w:rPr>
              <w:t>ödeme yapılıp yapılmayacağı ve aktarım yapılacak hesap</w:t>
            </w:r>
          </w:p>
        </w:tc>
        <w:tc>
          <w:tcPr>
            <w:tcW w:w="2835" w:type="dxa"/>
          </w:tcPr>
          <w:p w:rsidR="008F39BE" w:rsidRDefault="00AD36B8">
            <w:pPr>
              <w:spacing w:after="20" w:line="252" w:lineRule="auto"/>
              <w:jc w:val="left"/>
            </w:pPr>
            <w:r>
              <w:rPr>
                <w:sz w:val="19"/>
              </w:rPr>
              <w:t>Ödeme sürecinin öngörülebilirliği</w:t>
            </w:r>
          </w:p>
        </w:tc>
      </w:tr>
      <w:tr w:rsidR="008F39BE">
        <w:trPr>
          <w:jc w:val="center"/>
        </w:trPr>
        <w:tc>
          <w:tcPr>
            <w:tcW w:w="567" w:type="dxa"/>
            <w:shd w:val="clear" w:color="auto" w:fill="F4F7F7"/>
          </w:tcPr>
          <w:p w:rsidR="008F39BE" w:rsidRDefault="00AD36B8">
            <w:pPr>
              <w:spacing w:after="20" w:line="252" w:lineRule="auto"/>
              <w:jc w:val="left"/>
            </w:pPr>
            <w:r>
              <w:rPr>
                <w:sz w:val="19"/>
              </w:rPr>
              <w:t>10</w:t>
            </w:r>
          </w:p>
        </w:tc>
        <w:tc>
          <w:tcPr>
            <w:tcW w:w="5839" w:type="dxa"/>
            <w:shd w:val="clear" w:color="auto" w:fill="F4F7F7"/>
          </w:tcPr>
          <w:p w:rsidR="008F39BE" w:rsidRDefault="00AD36B8">
            <w:pPr>
              <w:spacing w:after="20" w:line="252" w:lineRule="auto"/>
              <w:jc w:val="left"/>
            </w:pPr>
            <w:r>
              <w:rPr>
                <w:sz w:val="19"/>
              </w:rPr>
              <w:t>Müvekkilin yapması gereken ek bir işlem, sunması gereken eksik belge veya başvuru bulunup bulunmadığı</w:t>
            </w:r>
          </w:p>
        </w:tc>
        <w:tc>
          <w:tcPr>
            <w:tcW w:w="2835" w:type="dxa"/>
            <w:shd w:val="clear" w:color="auto" w:fill="F4F7F7"/>
          </w:tcPr>
          <w:p w:rsidR="008F39BE" w:rsidRDefault="00AD36B8">
            <w:pPr>
              <w:spacing w:after="20" w:line="252" w:lineRule="auto"/>
              <w:jc w:val="left"/>
            </w:pPr>
            <w:r>
              <w:rPr>
                <w:sz w:val="19"/>
              </w:rPr>
              <w:t>Hak kaybının önlenmesi</w:t>
            </w:r>
          </w:p>
        </w:tc>
      </w:tr>
    </w:tbl>
    <w:p w:rsidR="008F39BE" w:rsidRDefault="008F39BE">
      <w:pPr>
        <w:spacing w:after="0"/>
      </w:pPr>
    </w:p>
    <w:p w:rsidR="008F39BE" w:rsidRDefault="00AD36B8">
      <w:pPr>
        <w:keepNext/>
        <w:pBdr>
          <w:bottom w:val="single" w:sz="6" w:space="1" w:color="0C4E54"/>
        </w:pBdr>
        <w:spacing w:before="240"/>
      </w:pPr>
      <w:r>
        <w:rPr>
          <w:b/>
          <w:color w:val="0C4E54"/>
          <w:sz w:val="23"/>
        </w:rPr>
        <w:t>III. KAYITLARIN MUHAFAZASI TALEBİ</w:t>
      </w:r>
    </w:p>
    <w:p w:rsidR="008F39BE" w:rsidRDefault="00AD36B8">
      <w:r>
        <w:t>Ay</w:t>
      </w:r>
      <w:r>
        <w:t>rıca, aşağıdaki kayıtların silinmemesi, değiştirilmemesi ve yasal saklama süreleri dolmuş olsa dahi olası adli ve idari süreçler sonuçlanıncaya kadar muhafaza edilmesini talep ederiz:</w:t>
      </w:r>
    </w:p>
    <w:p w:rsidR="008F39BE" w:rsidRDefault="00AD36B8">
      <w:pPr>
        <w:tabs>
          <w:tab w:val="left" w:pos="454"/>
        </w:tabs>
        <w:ind w:left="454" w:hanging="454"/>
      </w:pPr>
      <w:r>
        <w:rPr>
          <w:b/>
        </w:rPr>
        <w:t>1.</w:t>
      </w:r>
      <w:r>
        <w:rPr>
          <w:b/>
        </w:rPr>
        <w:tab/>
      </w:r>
      <w:r>
        <w:t xml:space="preserve">Müvekkile ait tüm hesap, emir, dekont ve ekstre kayıtları ile </w:t>
      </w:r>
      <w:r>
        <w:t>elektronik log ve zaman damgası kayıtları,</w:t>
      </w:r>
    </w:p>
    <w:p w:rsidR="008F39BE" w:rsidRDefault="00AD36B8">
      <w:pPr>
        <w:tabs>
          <w:tab w:val="left" w:pos="454"/>
        </w:tabs>
        <w:ind w:left="454" w:hanging="454"/>
      </w:pPr>
      <w:r>
        <w:rPr>
          <w:b/>
        </w:rPr>
        <w:t>2.</w:t>
      </w:r>
      <w:r>
        <w:rPr>
          <w:b/>
        </w:rPr>
        <w:tab/>
      </w:r>
      <w:r>
        <w:t>Fonun 01.01.2025 tarihinden tasfiye tarihine kadar günlük portföy dağılımı, birim pay değeri ve değerleme kayıtları,</w:t>
      </w:r>
    </w:p>
    <w:p w:rsidR="008F39BE" w:rsidRDefault="00AD36B8">
      <w:pPr>
        <w:tabs>
          <w:tab w:val="left" w:pos="454"/>
        </w:tabs>
        <w:ind w:left="454" w:hanging="454"/>
      </w:pPr>
      <w:r>
        <w:rPr>
          <w:b/>
        </w:rPr>
        <w:lastRenderedPageBreak/>
        <w:t>3.</w:t>
      </w:r>
      <w:r>
        <w:rPr>
          <w:b/>
        </w:rPr>
        <w:tab/>
      </w:r>
      <w:r>
        <w:t>Saklayıcı sıfatıyla yapılan gözetim ve kontrol çalışmaları, kurucuya yapılan uyarı ve bild</w:t>
      </w:r>
      <w:r>
        <w:t>irimler,</w:t>
      </w:r>
    </w:p>
    <w:p w:rsidR="008F39BE" w:rsidRDefault="00AD36B8">
      <w:pPr>
        <w:tabs>
          <w:tab w:val="left" w:pos="454"/>
        </w:tabs>
        <w:ind w:left="454" w:hanging="454"/>
      </w:pPr>
      <w:r>
        <w:rPr>
          <w:b/>
        </w:rPr>
        <w:t>4.</w:t>
      </w:r>
      <w:r>
        <w:rPr>
          <w:b/>
        </w:rPr>
        <w:tab/>
      </w:r>
      <w:r>
        <w:t>MKK ve Takasbank ile yapılan mutabakat tutanakları ve tasfiye işlemlerine ilişkin tüm yazışmalar.</w:t>
      </w:r>
    </w:p>
    <w:p w:rsidR="008F39BE" w:rsidRDefault="00AD36B8">
      <w:pPr>
        <w:keepNext/>
        <w:pBdr>
          <w:bottom w:val="single" w:sz="6" w:space="1" w:color="0C4E54"/>
        </w:pBdr>
        <w:spacing w:before="240"/>
      </w:pPr>
      <w:r>
        <w:rPr>
          <w:b/>
          <w:color w:val="0C4E54"/>
          <w:sz w:val="23"/>
        </w:rPr>
        <w:t>IV. HUKUKİ NEDENLER</w:t>
      </w:r>
    </w:p>
    <w:p w:rsidR="008F39BE" w:rsidRDefault="00AD36B8">
      <w:r>
        <w:t>6362 sayılı Sermaye Piyasası Kanunu (özellikle m.52, m.56 ve portföy saklama hizmetine ilişkin hükümler); III-52.1 sayılı Yatı</w:t>
      </w:r>
      <w:r>
        <w:t>rım Fonlarına İlişkin Esaslar Tebliği; Portföy Saklama Hizmetine İlişkin Esaslar Tebliği; SPK Karar Organı’nın 17.09.2026 tarih ve 57/1708 sayılı ve 20.09.2026 tarih ve 59/1710 sayılı kararları ile ekli tasfiye usul ve esasları; 6098 sayılı Türk Borçlar Ka</w:t>
      </w:r>
      <w:r>
        <w:t>nunu; 6698 sayılı Kişisel Verilerin Korunması Kanunu m.11; 6100 sayılı Hukuk Muhakemeleri Kanunu m.400 vd. ve ilgili sair mevzuat.</w:t>
      </w:r>
    </w:p>
    <w:p w:rsidR="008F39BE" w:rsidRDefault="00AD36B8">
      <w:pPr>
        <w:keepNext/>
        <w:pBdr>
          <w:bottom w:val="single" w:sz="6" w:space="1" w:color="0C4E54"/>
        </w:pBdr>
        <w:spacing w:before="240"/>
      </w:pPr>
      <w:r>
        <w:rPr>
          <w:b/>
          <w:color w:val="0C4E54"/>
          <w:sz w:val="23"/>
        </w:rPr>
        <w:t>V. SONUÇ VE İSTEM</w:t>
      </w:r>
    </w:p>
    <w:p w:rsidR="008F39BE" w:rsidRDefault="00AD36B8">
      <w:r>
        <w:t>Yukarıda açıklanan nedenlerle;</w:t>
      </w:r>
    </w:p>
    <w:p w:rsidR="008F39BE" w:rsidRDefault="00AD36B8">
      <w:pPr>
        <w:tabs>
          <w:tab w:val="left" w:pos="454"/>
        </w:tabs>
        <w:ind w:left="454" w:hanging="454"/>
      </w:pPr>
      <w:r>
        <w:rPr>
          <w:b/>
        </w:rPr>
        <w:t>1.</w:t>
      </w:r>
      <w:r>
        <w:rPr>
          <w:b/>
        </w:rPr>
        <w:tab/>
      </w:r>
      <w:r>
        <w:t xml:space="preserve">II. bölümde sayılan bilgi ve belgelerin, işbu başvurunun tebliğinden itibaren </w:t>
      </w:r>
      <w:r>
        <w:rPr>
          <w:b/>
        </w:rPr>
        <w:t>15 (on beş) gün</w:t>
      </w:r>
      <w:r>
        <w:t xml:space="preserve"> içinde yazılı olarak ve dayanak belgeleriyle birlikte vekil adresine / KEP adresine bildirilmesine,</w:t>
      </w:r>
    </w:p>
    <w:p w:rsidR="008F39BE" w:rsidRDefault="00AD36B8">
      <w:pPr>
        <w:tabs>
          <w:tab w:val="left" w:pos="454"/>
        </w:tabs>
        <w:ind w:left="454" w:hanging="454"/>
      </w:pPr>
      <w:r>
        <w:rPr>
          <w:b/>
        </w:rPr>
        <w:t>2.</w:t>
      </w:r>
      <w:r>
        <w:rPr>
          <w:b/>
        </w:rPr>
        <w:tab/>
      </w:r>
      <w:r>
        <w:t>III. bölümde sayılan kayıtların muhafaza altına alınmasına,</w:t>
      </w:r>
    </w:p>
    <w:p w:rsidR="008F39BE" w:rsidRDefault="00AD36B8">
      <w:pPr>
        <w:tabs>
          <w:tab w:val="left" w:pos="454"/>
        </w:tabs>
        <w:ind w:left="454" w:hanging="454"/>
      </w:pPr>
      <w:r>
        <w:rPr>
          <w:b/>
        </w:rPr>
        <w:t>3.</w:t>
      </w:r>
      <w:r>
        <w:rPr>
          <w:b/>
        </w:rPr>
        <w:tab/>
      </w:r>
      <w:r>
        <w:t>Müvekkilin tasfiye payı alacağının, gerçekleşmemiş iade talimatlarından doğan öncelikli ödeme hakkı da gözetilerek hesaplanmasına ve bu hesaplamanın müvekkile bildirilmesine,</w:t>
      </w:r>
    </w:p>
    <w:p w:rsidR="008F39BE" w:rsidRDefault="00AD36B8">
      <w:pPr>
        <w:tabs>
          <w:tab w:val="left" w:pos="454"/>
        </w:tabs>
        <w:ind w:left="454" w:hanging="454"/>
      </w:pPr>
      <w:r>
        <w:rPr>
          <w:b/>
        </w:rPr>
        <w:t>4.</w:t>
      </w:r>
      <w:r>
        <w:rPr>
          <w:b/>
        </w:rPr>
        <w:tab/>
      </w:r>
      <w:r>
        <w:t xml:space="preserve">Müvekkile yapılacak ödemeler ile tasfiye sürecindeki her türlü gelişmenin </w:t>
      </w:r>
      <w:r>
        <w:t>vekil aracılığıyla müvekkile bildirilmesine,</w:t>
      </w:r>
    </w:p>
    <w:p w:rsidR="008F39BE" w:rsidRDefault="00AD36B8">
      <w:pPr>
        <w:spacing w:after="120"/>
      </w:pPr>
      <w:r>
        <w:t>karar verilmesini saygılarımızla arz ve talep ederiz.</w:t>
      </w:r>
    </w:p>
    <w:p w:rsidR="008F39BE" w:rsidRDefault="008F39BE">
      <w:pPr>
        <w:spacing w:after="0"/>
      </w:pPr>
      <w:bookmarkStart w:id="0" w:name="_GoBack"/>
      <w:bookmarkEnd w:id="0"/>
    </w:p>
    <w:p w:rsidR="008F39BE" w:rsidRDefault="00AD36B8">
      <w:pPr>
        <w:keepNext/>
        <w:spacing w:before="120" w:after="0"/>
        <w:jc w:val="right"/>
      </w:pPr>
      <w:r>
        <w:t>[Tarih]</w:t>
      </w:r>
    </w:p>
    <w:p w:rsidR="008F39BE" w:rsidRDefault="00AD36B8">
      <w:pPr>
        <w:keepNext/>
        <w:spacing w:after="0"/>
        <w:jc w:val="right"/>
      </w:pPr>
      <w:r>
        <w:t>Başvuran Vekili</w:t>
      </w:r>
    </w:p>
    <w:p w:rsidR="008F39BE" w:rsidRDefault="00AD36B8">
      <w:pPr>
        <w:keepNext/>
        <w:spacing w:after="0"/>
        <w:jc w:val="right"/>
      </w:pPr>
      <w:r>
        <w:rPr>
          <w:b/>
        </w:rPr>
        <w:t xml:space="preserve">Av. </w:t>
      </w:r>
      <w:r w:rsidR="00C44540">
        <w:rPr>
          <w:b/>
        </w:rPr>
        <w:t>…………………</w:t>
      </w:r>
    </w:p>
    <w:p w:rsidR="008F39BE" w:rsidRDefault="00AD36B8">
      <w:pPr>
        <w:jc w:val="right"/>
      </w:pPr>
      <w:r>
        <w:rPr>
          <w:color w:val="5A5957"/>
        </w:rPr>
        <w:t>[İmza]</w:t>
      </w:r>
    </w:p>
    <w:p w:rsidR="008F39BE" w:rsidRDefault="00AD36B8">
      <w:pPr>
        <w:keepNext/>
        <w:pBdr>
          <w:bottom w:val="single" w:sz="6" w:space="1" w:color="0C4E54"/>
        </w:pBdr>
        <w:spacing w:before="240"/>
      </w:pPr>
      <w:r>
        <w:rPr>
          <w:b/>
          <w:color w:val="0C4E54"/>
          <w:sz w:val="23"/>
        </w:rPr>
        <w:t>EKLER</w:t>
      </w:r>
    </w:p>
    <w:p w:rsidR="008F39BE" w:rsidRDefault="00AD36B8">
      <w:pPr>
        <w:spacing w:after="20"/>
        <w:jc w:val="left"/>
      </w:pPr>
      <w:r>
        <w:t>Ek-1:  Vekâletname örneği</w:t>
      </w:r>
    </w:p>
    <w:p w:rsidR="008F39BE" w:rsidRDefault="00AD36B8">
      <w:pPr>
        <w:spacing w:after="20"/>
        <w:jc w:val="left"/>
      </w:pPr>
      <w:r>
        <w:t>Ek-2:  Katılma payı alım dekontları</w:t>
      </w:r>
    </w:p>
    <w:p w:rsidR="008F39BE" w:rsidRDefault="00AD36B8">
      <w:pPr>
        <w:spacing w:after="20"/>
        <w:jc w:val="left"/>
      </w:pPr>
      <w:r>
        <w:t>Ek-3:  Yatırım hesabı ekstresi (ilk alım tarihinden itibaren)</w:t>
      </w:r>
    </w:p>
    <w:p w:rsidR="008F39BE" w:rsidRDefault="00AD36B8">
      <w:pPr>
        <w:spacing w:after="20"/>
        <w:jc w:val="left"/>
      </w:pPr>
      <w:r>
        <w:t>Ek-4:  İade talimatına ilişkin ekran görüntüsü / emir kaydı (varsa)</w:t>
      </w:r>
    </w:p>
    <w:p w:rsidR="008F39BE" w:rsidRDefault="00AD36B8">
      <w:pPr>
        <w:spacing w:after="20"/>
        <w:jc w:val="left"/>
      </w:pPr>
      <w:r>
        <w:t xml:space="preserve">Ek-5:  Fon izahnamesi ve yatırımcı </w:t>
      </w:r>
      <w:r>
        <w:t>bilgi formu (varsa)</w:t>
      </w:r>
    </w:p>
    <w:p w:rsidR="008F39BE" w:rsidRDefault="00AD36B8">
      <w:pPr>
        <w:spacing w:after="20"/>
        <w:jc w:val="left"/>
      </w:pPr>
      <w:r>
        <w:t>Ek-6:  Kimlik fotokopisi</w:t>
      </w:r>
    </w:p>
    <w:p w:rsidR="008F39BE" w:rsidRDefault="00AD36B8">
      <w:r>
        <w:br w:type="page"/>
      </w:r>
    </w:p>
    <w:sectPr w:rsidR="008F39BE" w:rsidSect="00034616">
      <w:footerReference w:type="default" r:id="rId9"/>
      <w:pgSz w:w="11906" w:h="16838"/>
      <w:pgMar w:top="1247" w:right="1247"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6B8" w:rsidRDefault="00AD36B8">
      <w:pPr>
        <w:spacing w:after="0" w:line="240" w:lineRule="auto"/>
      </w:pPr>
      <w:r>
        <w:separator/>
      </w:r>
    </w:p>
  </w:endnote>
  <w:endnote w:type="continuationSeparator" w:id="0">
    <w:p w:rsidR="00AD36B8" w:rsidRDefault="00AD3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9BE" w:rsidRDefault="00AD36B8">
    <w:pPr>
      <w:pStyle w:val="Altbilgi"/>
      <w:jc w:val="center"/>
    </w:pPr>
    <w:r>
      <w:rPr>
        <w:color w:val="5A5957"/>
        <w:sz w:val="16"/>
      </w:rPr>
      <w:t xml:space="preserve">Fon Tasfiye Yetkilisi / Portföy Saklayıcısına Başvuru  |  Av. Şahin Baran  |  Sayfa </w:t>
    </w:r>
    <w:r>
      <w:fldChar w:fldCharType="begin"/>
    </w:r>
    <w:r>
      <w:instrText>PAGE</w:instrText>
    </w:r>
    <w:r>
      <w:fldChar w:fldCharType="separate"/>
    </w:r>
    <w:r w:rsidR="00C44540">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6B8" w:rsidRDefault="00AD36B8">
      <w:pPr>
        <w:spacing w:after="0" w:line="240" w:lineRule="auto"/>
      </w:pPr>
      <w:r>
        <w:separator/>
      </w:r>
    </w:p>
  </w:footnote>
  <w:footnote w:type="continuationSeparator" w:id="0">
    <w:p w:rsidR="00AD36B8" w:rsidRDefault="00AD36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8F39BE"/>
    <w:rsid w:val="00AA1D8D"/>
    <w:rsid w:val="00AD36B8"/>
    <w:rsid w:val="00B47730"/>
    <w:rsid w:val="00C4454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jc w:val="both"/>
    </w:pPr>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jc w:val="both"/>
    </w:pPr>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D5284-A920-4E60-B330-313244F62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1152</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Macbook</cp:lastModifiedBy>
  <cp:revision>2</cp:revision>
  <dcterms:created xsi:type="dcterms:W3CDTF">2013-12-23T23:15:00Z</dcterms:created>
  <dcterms:modified xsi:type="dcterms:W3CDTF">2026-09-23T12:26:00Z</dcterms:modified>
  <cp:category/>
</cp:coreProperties>
</file>