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894" w:rsidRDefault="000A4DFD">
      <w:pPr>
        <w:spacing w:after="40"/>
        <w:jc w:val="center"/>
      </w:pPr>
      <w:r>
        <w:rPr>
          <w:b/>
          <w:color w:val="5A5957"/>
          <w:sz w:val="20"/>
        </w:rPr>
        <w:t>HUKUKİ DEĞERLENDİRME VE DAVA DİLEKÇESİ TASLAĞI</w:t>
      </w:r>
    </w:p>
    <w:p w:rsidR="00173894" w:rsidRDefault="000A4DFD">
      <w:pPr>
        <w:spacing w:after="40"/>
        <w:jc w:val="center"/>
      </w:pPr>
      <w:r>
        <w:rPr>
          <w:b/>
          <w:color w:val="0C4E54"/>
          <w:sz w:val="32"/>
        </w:rPr>
        <w:t>FON ZARARI TAZMİNAT DAVASI VE İHTİYATİ HACİZ TALEBİ</w:t>
      </w:r>
    </w:p>
    <w:p w:rsidR="00173894" w:rsidRDefault="000A4DFD">
      <w:pPr>
        <w:spacing w:after="200"/>
        <w:jc w:val="center"/>
      </w:pPr>
      <w:r>
        <w:rPr>
          <w:color w:val="5A5957"/>
          <w:sz w:val="19"/>
        </w:rPr>
        <w:t>Hazırlayan: Av. Şahin Baran  |  23 Eylül 2026</w:t>
      </w:r>
    </w:p>
    <w:p w:rsidR="00173894" w:rsidRDefault="000A4DFD">
      <w:pPr>
        <w:keepNext/>
        <w:pBdr>
          <w:bottom w:val="single" w:sz="6" w:space="1" w:color="0C4E54"/>
        </w:pBdr>
        <w:spacing w:before="240"/>
      </w:pPr>
      <w:r>
        <w:rPr>
          <w:b/>
          <w:color w:val="0C4E54"/>
          <w:sz w:val="23"/>
        </w:rPr>
        <w:t>BÖLÜM A — DAVA ÖNCESİ DEĞERLENDİRME</w:t>
      </w:r>
    </w:p>
    <w:p w:rsidR="00173894" w:rsidRDefault="000A4DFD">
      <w:r>
        <w:t xml:space="preserve">Tazminat davasının başarısı, fiyat düşüşünü değil; her davalının hangi </w:t>
      </w:r>
      <w:r>
        <w:t>yükümlülüğü ihlal ettiğini, bu ihlalin hangi işlemle gerçekleştiğini ve zararla nasıl bağlantılı olduğunu gösteren bir sorumluluk zincirinin kurulmasına bağlıdır. Dava açılmadan önce aşağıdaki matris her davalı için ayrı ayrı doldurulmalı ve delillerle eşl</w:t>
      </w:r>
      <w:r>
        <w:t>eştirilmelidir.</w:t>
      </w:r>
    </w:p>
    <w:p w:rsidR="00173894" w:rsidRDefault="000A4DFD">
      <w:pPr>
        <w:keepNext/>
        <w:spacing w:after="60"/>
      </w:pPr>
      <w:r>
        <w:rPr>
          <w:b/>
          <w:color w:val="0C4E54"/>
        </w:rPr>
        <w:t>1. Sorumluluk matrisi</w:t>
      </w:r>
    </w:p>
    <w:tbl>
      <w:tblPr>
        <w:tblStyle w:val="TabloKlavuzu"/>
        <w:tblW w:w="0" w:type="auto"/>
        <w:jc w:val="center"/>
        <w:tblLayout w:type="fixed"/>
        <w:tblLook w:val="04A0" w:firstRow="1" w:lastRow="0" w:firstColumn="1" w:lastColumn="0" w:noHBand="0" w:noVBand="1"/>
      </w:tblPr>
      <w:tblGrid>
        <w:gridCol w:w="1587"/>
        <w:gridCol w:w="1928"/>
        <w:gridCol w:w="2211"/>
        <w:gridCol w:w="1587"/>
        <w:gridCol w:w="1928"/>
      </w:tblGrid>
      <w:tr w:rsidR="00173894">
        <w:trPr>
          <w:jc w:val="center"/>
        </w:trPr>
        <w:tc>
          <w:tcPr>
            <w:tcW w:w="1587" w:type="dxa"/>
            <w:shd w:val="clear" w:color="auto" w:fill="0C4E54"/>
          </w:tcPr>
          <w:p w:rsidR="00173894" w:rsidRDefault="000A4DFD">
            <w:r>
              <w:rPr>
                <w:b/>
                <w:color w:val="FFFFFF"/>
                <w:sz w:val="17"/>
              </w:rPr>
              <w:t>Davalı</w:t>
            </w:r>
          </w:p>
        </w:tc>
        <w:tc>
          <w:tcPr>
            <w:tcW w:w="1928" w:type="dxa"/>
            <w:shd w:val="clear" w:color="auto" w:fill="0C4E54"/>
          </w:tcPr>
          <w:p w:rsidR="00173894" w:rsidRDefault="000A4DFD">
            <w:r>
              <w:rPr>
                <w:b/>
                <w:color w:val="FFFFFF"/>
                <w:sz w:val="17"/>
              </w:rPr>
              <w:t>Yükümlülük</w:t>
            </w:r>
          </w:p>
        </w:tc>
        <w:tc>
          <w:tcPr>
            <w:tcW w:w="2211" w:type="dxa"/>
            <w:shd w:val="clear" w:color="auto" w:fill="0C4E54"/>
          </w:tcPr>
          <w:p w:rsidR="00173894" w:rsidRDefault="000A4DFD">
            <w:r>
              <w:rPr>
                <w:b/>
                <w:color w:val="FFFFFF"/>
                <w:sz w:val="17"/>
              </w:rPr>
              <w:t>İhlal iddiası (somutlaştırılacak)</w:t>
            </w:r>
          </w:p>
        </w:tc>
        <w:tc>
          <w:tcPr>
            <w:tcW w:w="1587" w:type="dxa"/>
            <w:shd w:val="clear" w:color="auto" w:fill="0C4E54"/>
          </w:tcPr>
          <w:p w:rsidR="00173894" w:rsidRDefault="000A4DFD">
            <w:r>
              <w:rPr>
                <w:b/>
                <w:color w:val="FFFFFF"/>
                <w:sz w:val="17"/>
              </w:rPr>
              <w:t>Dayanak</w:t>
            </w:r>
          </w:p>
        </w:tc>
        <w:tc>
          <w:tcPr>
            <w:tcW w:w="1928" w:type="dxa"/>
            <w:shd w:val="clear" w:color="auto" w:fill="0C4E54"/>
          </w:tcPr>
          <w:p w:rsidR="00173894" w:rsidRDefault="000A4DFD">
            <w:r>
              <w:rPr>
                <w:b/>
                <w:color w:val="FFFFFF"/>
                <w:sz w:val="17"/>
              </w:rPr>
              <w:t>Delil</w:t>
            </w:r>
          </w:p>
        </w:tc>
      </w:tr>
      <w:tr w:rsidR="00173894">
        <w:trPr>
          <w:jc w:val="center"/>
        </w:trPr>
        <w:tc>
          <w:tcPr>
            <w:tcW w:w="1587" w:type="dxa"/>
          </w:tcPr>
          <w:p w:rsidR="00173894" w:rsidRDefault="000A4DFD">
            <w:pPr>
              <w:spacing w:after="20" w:line="252" w:lineRule="auto"/>
              <w:jc w:val="left"/>
            </w:pPr>
            <w:r>
              <w:rPr>
                <w:sz w:val="17"/>
              </w:rPr>
              <w:t>Kurucu PYŞ</w:t>
            </w:r>
          </w:p>
        </w:tc>
        <w:tc>
          <w:tcPr>
            <w:tcW w:w="1928" w:type="dxa"/>
          </w:tcPr>
          <w:p w:rsidR="00173894" w:rsidRDefault="000A4DFD">
            <w:pPr>
              <w:spacing w:after="20" w:line="252" w:lineRule="auto"/>
              <w:jc w:val="left"/>
            </w:pPr>
            <w:r>
              <w:rPr>
                <w:sz w:val="17"/>
              </w:rPr>
              <w:t>Fonu içtüzük, izahname ve mevzuata uygun, yatırımcı menfaatine yönetmek</w:t>
            </w:r>
          </w:p>
        </w:tc>
        <w:tc>
          <w:tcPr>
            <w:tcW w:w="2211" w:type="dxa"/>
          </w:tcPr>
          <w:p w:rsidR="00173894" w:rsidRDefault="000A4DFD">
            <w:pPr>
              <w:spacing w:after="20" w:line="252" w:lineRule="auto"/>
              <w:jc w:val="left"/>
            </w:pPr>
            <w:r>
              <w:rPr>
                <w:sz w:val="17"/>
              </w:rPr>
              <w:t xml:space="preserve">Yoğunlaşma, stratejiden sapma, gerçeğe aykırı değerleme, likidite </w:t>
            </w:r>
            <w:r>
              <w:rPr>
                <w:sz w:val="17"/>
              </w:rPr>
              <w:t>yönetiminde ihmal</w:t>
            </w:r>
          </w:p>
        </w:tc>
        <w:tc>
          <w:tcPr>
            <w:tcW w:w="1587" w:type="dxa"/>
          </w:tcPr>
          <w:p w:rsidR="00173894" w:rsidRDefault="000A4DFD">
            <w:pPr>
              <w:spacing w:after="20" w:line="252" w:lineRule="auto"/>
              <w:jc w:val="left"/>
            </w:pPr>
            <w:r>
              <w:rPr>
                <w:sz w:val="17"/>
              </w:rPr>
              <w:t>SPKn m.52; III-52.1; TBK m.506, m.49</w:t>
            </w:r>
          </w:p>
        </w:tc>
        <w:tc>
          <w:tcPr>
            <w:tcW w:w="1928" w:type="dxa"/>
          </w:tcPr>
          <w:p w:rsidR="00173894" w:rsidRDefault="000A4DFD">
            <w:pPr>
              <w:spacing w:after="20" w:line="252" w:lineRule="auto"/>
              <w:jc w:val="left"/>
            </w:pPr>
            <w:r>
              <w:rPr>
                <w:sz w:val="17"/>
              </w:rPr>
              <w:t>Portföy raporları, SPK denetleme raporu</w:t>
            </w:r>
          </w:p>
        </w:tc>
      </w:tr>
      <w:tr w:rsidR="00173894">
        <w:trPr>
          <w:jc w:val="center"/>
        </w:trPr>
        <w:tc>
          <w:tcPr>
            <w:tcW w:w="1587" w:type="dxa"/>
            <w:shd w:val="clear" w:color="auto" w:fill="F4F7F7"/>
          </w:tcPr>
          <w:p w:rsidR="00173894" w:rsidRDefault="000A4DFD">
            <w:pPr>
              <w:spacing w:after="20" w:line="252" w:lineRule="auto"/>
              <w:jc w:val="left"/>
            </w:pPr>
            <w:r>
              <w:rPr>
                <w:sz w:val="17"/>
              </w:rPr>
              <w:t>PYŞ yöneticileri ve fon yöneticileri</w:t>
            </w:r>
          </w:p>
        </w:tc>
        <w:tc>
          <w:tcPr>
            <w:tcW w:w="1928" w:type="dxa"/>
            <w:shd w:val="clear" w:color="auto" w:fill="F4F7F7"/>
          </w:tcPr>
          <w:p w:rsidR="00173894" w:rsidRDefault="000A4DFD">
            <w:pPr>
              <w:spacing w:after="20" w:line="252" w:lineRule="auto"/>
              <w:jc w:val="left"/>
            </w:pPr>
            <w:r>
              <w:rPr>
                <w:sz w:val="17"/>
              </w:rPr>
              <w:t>Özen ve sadakat; çıkar çatışmasından kaçınma</w:t>
            </w:r>
          </w:p>
        </w:tc>
        <w:tc>
          <w:tcPr>
            <w:tcW w:w="2211" w:type="dxa"/>
            <w:shd w:val="clear" w:color="auto" w:fill="F4F7F7"/>
          </w:tcPr>
          <w:p w:rsidR="00173894" w:rsidRDefault="000A4DFD">
            <w:pPr>
              <w:spacing w:after="20" w:line="252" w:lineRule="auto"/>
              <w:jc w:val="left"/>
            </w:pPr>
            <w:r>
              <w:rPr>
                <w:sz w:val="17"/>
              </w:rPr>
              <w:t>İlişkili taraf işlemleri, kişisel işlemlerle fon işlemlerinin bağlantısı</w:t>
            </w:r>
          </w:p>
        </w:tc>
        <w:tc>
          <w:tcPr>
            <w:tcW w:w="1587" w:type="dxa"/>
            <w:shd w:val="clear" w:color="auto" w:fill="F4F7F7"/>
          </w:tcPr>
          <w:p w:rsidR="00173894" w:rsidRDefault="000A4DFD">
            <w:pPr>
              <w:spacing w:after="20" w:line="252" w:lineRule="auto"/>
              <w:jc w:val="left"/>
            </w:pPr>
            <w:r>
              <w:rPr>
                <w:sz w:val="17"/>
              </w:rPr>
              <w:t>TBK m</w:t>
            </w:r>
            <w:r>
              <w:rPr>
                <w:sz w:val="17"/>
              </w:rPr>
              <w:t>.49; TTK m.553 (koşulları varsa)</w:t>
            </w:r>
          </w:p>
        </w:tc>
        <w:tc>
          <w:tcPr>
            <w:tcW w:w="1928" w:type="dxa"/>
            <w:shd w:val="clear" w:color="auto" w:fill="F4F7F7"/>
          </w:tcPr>
          <w:p w:rsidR="00173894" w:rsidRDefault="000A4DFD">
            <w:pPr>
              <w:spacing w:after="20" w:line="252" w:lineRule="auto"/>
              <w:jc w:val="left"/>
            </w:pPr>
            <w:r>
              <w:rPr>
                <w:sz w:val="17"/>
              </w:rPr>
              <w:t>MKK, Borsa İstanbul kayıtları; ceza dosyası</w:t>
            </w:r>
          </w:p>
        </w:tc>
      </w:tr>
      <w:tr w:rsidR="00173894">
        <w:trPr>
          <w:jc w:val="center"/>
        </w:trPr>
        <w:tc>
          <w:tcPr>
            <w:tcW w:w="1587" w:type="dxa"/>
          </w:tcPr>
          <w:p w:rsidR="00173894" w:rsidRDefault="000A4DFD">
            <w:pPr>
              <w:spacing w:after="20" w:line="252" w:lineRule="auto"/>
              <w:jc w:val="left"/>
            </w:pPr>
            <w:r>
              <w:rPr>
                <w:sz w:val="17"/>
              </w:rPr>
              <w:t>Portföy saklayıcısı (kriz öncesi)</w:t>
            </w:r>
          </w:p>
        </w:tc>
        <w:tc>
          <w:tcPr>
            <w:tcW w:w="1928" w:type="dxa"/>
          </w:tcPr>
          <w:p w:rsidR="00173894" w:rsidRDefault="000A4DFD">
            <w:pPr>
              <w:spacing w:after="20" w:line="252" w:lineRule="auto"/>
              <w:jc w:val="left"/>
            </w:pPr>
            <w:r>
              <w:rPr>
                <w:sz w:val="17"/>
              </w:rPr>
              <w:t>Fonun mevzuata uygun yönetimini gözetme ve aykırılıkları bildirme</w:t>
            </w:r>
          </w:p>
        </w:tc>
        <w:tc>
          <w:tcPr>
            <w:tcW w:w="2211" w:type="dxa"/>
          </w:tcPr>
          <w:p w:rsidR="00173894" w:rsidRDefault="000A4DFD">
            <w:pPr>
              <w:spacing w:after="20" w:line="252" w:lineRule="auto"/>
              <w:jc w:val="left"/>
            </w:pPr>
            <w:r>
              <w:rPr>
                <w:sz w:val="17"/>
              </w:rPr>
              <w:t>Gözetim ve bildirim yükümlülüğünün yerine getirilmemesi</w:t>
            </w:r>
          </w:p>
        </w:tc>
        <w:tc>
          <w:tcPr>
            <w:tcW w:w="1587" w:type="dxa"/>
          </w:tcPr>
          <w:p w:rsidR="00173894" w:rsidRDefault="000A4DFD">
            <w:pPr>
              <w:spacing w:after="20" w:line="252" w:lineRule="auto"/>
              <w:jc w:val="left"/>
            </w:pPr>
            <w:r>
              <w:rPr>
                <w:sz w:val="17"/>
              </w:rPr>
              <w:t>SPKn m.56; III-56.1</w:t>
            </w:r>
          </w:p>
        </w:tc>
        <w:tc>
          <w:tcPr>
            <w:tcW w:w="1928" w:type="dxa"/>
          </w:tcPr>
          <w:p w:rsidR="00173894" w:rsidRDefault="000A4DFD">
            <w:pPr>
              <w:spacing w:after="20" w:line="252" w:lineRule="auto"/>
              <w:jc w:val="left"/>
            </w:pPr>
            <w:r>
              <w:rPr>
                <w:sz w:val="17"/>
              </w:rPr>
              <w:t>Saklayıcı gözetim raporları</w:t>
            </w:r>
          </w:p>
        </w:tc>
      </w:tr>
      <w:tr w:rsidR="00173894">
        <w:trPr>
          <w:jc w:val="center"/>
        </w:trPr>
        <w:tc>
          <w:tcPr>
            <w:tcW w:w="1587" w:type="dxa"/>
            <w:shd w:val="clear" w:color="auto" w:fill="F4F7F7"/>
          </w:tcPr>
          <w:p w:rsidR="00173894" w:rsidRDefault="000A4DFD">
            <w:pPr>
              <w:spacing w:after="20" w:line="252" w:lineRule="auto"/>
              <w:jc w:val="left"/>
            </w:pPr>
            <w:r>
              <w:rPr>
                <w:sz w:val="17"/>
              </w:rPr>
              <w:t>Dağıtıcı kuruluş</w:t>
            </w:r>
          </w:p>
        </w:tc>
        <w:tc>
          <w:tcPr>
            <w:tcW w:w="1928" w:type="dxa"/>
            <w:shd w:val="clear" w:color="auto" w:fill="F4F7F7"/>
          </w:tcPr>
          <w:p w:rsidR="00173894" w:rsidRDefault="000A4DFD">
            <w:pPr>
              <w:spacing w:after="20" w:line="252" w:lineRule="auto"/>
              <w:jc w:val="left"/>
            </w:pPr>
            <w:r>
              <w:rPr>
                <w:sz w:val="17"/>
              </w:rPr>
              <w:t>Uygunluk ve yerindelik değerlendirmesi; doğru ve eksiksiz bilgilendirme</w:t>
            </w:r>
          </w:p>
        </w:tc>
        <w:tc>
          <w:tcPr>
            <w:tcW w:w="2211" w:type="dxa"/>
            <w:shd w:val="clear" w:color="auto" w:fill="F4F7F7"/>
          </w:tcPr>
          <w:p w:rsidR="00173894" w:rsidRDefault="000A4DFD">
            <w:pPr>
              <w:spacing w:after="20" w:line="252" w:lineRule="auto"/>
              <w:jc w:val="left"/>
            </w:pPr>
            <w:r>
              <w:rPr>
                <w:sz w:val="17"/>
              </w:rPr>
              <w:t>Risk profiline aykırı satış; yanıltıcı pazarlama</w:t>
            </w:r>
          </w:p>
        </w:tc>
        <w:tc>
          <w:tcPr>
            <w:tcW w:w="1587" w:type="dxa"/>
            <w:shd w:val="clear" w:color="auto" w:fill="F4F7F7"/>
          </w:tcPr>
          <w:p w:rsidR="00173894" w:rsidRDefault="000A4DFD">
            <w:pPr>
              <w:spacing w:after="20" w:line="252" w:lineRule="auto"/>
              <w:jc w:val="left"/>
            </w:pPr>
            <w:r>
              <w:rPr>
                <w:sz w:val="17"/>
              </w:rPr>
              <w:t>TBK m.506; SPKn ve ilgili tebliğler</w:t>
            </w:r>
          </w:p>
        </w:tc>
        <w:tc>
          <w:tcPr>
            <w:tcW w:w="1928" w:type="dxa"/>
            <w:shd w:val="clear" w:color="auto" w:fill="F4F7F7"/>
          </w:tcPr>
          <w:p w:rsidR="00173894" w:rsidRDefault="000A4DFD">
            <w:pPr>
              <w:spacing w:after="20" w:line="252" w:lineRule="auto"/>
              <w:jc w:val="left"/>
            </w:pPr>
            <w:r>
              <w:rPr>
                <w:sz w:val="17"/>
              </w:rPr>
              <w:t>Uygunluk testi, yazışmalar, tanık</w:t>
            </w:r>
          </w:p>
        </w:tc>
      </w:tr>
      <w:tr w:rsidR="00173894">
        <w:trPr>
          <w:jc w:val="center"/>
        </w:trPr>
        <w:tc>
          <w:tcPr>
            <w:tcW w:w="1587" w:type="dxa"/>
          </w:tcPr>
          <w:p w:rsidR="00173894" w:rsidRDefault="000A4DFD">
            <w:pPr>
              <w:spacing w:after="20" w:line="252" w:lineRule="auto"/>
              <w:jc w:val="left"/>
            </w:pPr>
            <w:r>
              <w:rPr>
                <w:sz w:val="17"/>
              </w:rPr>
              <w:t>İlişkili kişiler</w:t>
            </w:r>
          </w:p>
        </w:tc>
        <w:tc>
          <w:tcPr>
            <w:tcW w:w="1928" w:type="dxa"/>
          </w:tcPr>
          <w:p w:rsidR="00173894" w:rsidRDefault="000A4DFD">
            <w:pPr>
              <w:spacing w:after="20" w:line="252" w:lineRule="auto"/>
              <w:jc w:val="left"/>
            </w:pPr>
            <w:r>
              <w:rPr>
                <w:sz w:val="17"/>
              </w:rPr>
              <w:t>Fon malvarlığına müdahale etmeme</w:t>
            </w:r>
          </w:p>
        </w:tc>
        <w:tc>
          <w:tcPr>
            <w:tcW w:w="2211" w:type="dxa"/>
          </w:tcPr>
          <w:p w:rsidR="00173894" w:rsidRDefault="000A4DFD">
            <w:pPr>
              <w:spacing w:after="20" w:line="252" w:lineRule="auto"/>
              <w:jc w:val="left"/>
            </w:pPr>
            <w:r>
              <w:rPr>
                <w:sz w:val="17"/>
              </w:rPr>
              <w:t>Fondan menfaat aktarımı; işbirliği</w:t>
            </w:r>
          </w:p>
        </w:tc>
        <w:tc>
          <w:tcPr>
            <w:tcW w:w="1587" w:type="dxa"/>
          </w:tcPr>
          <w:p w:rsidR="00173894" w:rsidRDefault="000A4DFD">
            <w:pPr>
              <w:spacing w:after="20" w:line="252" w:lineRule="auto"/>
              <w:jc w:val="left"/>
            </w:pPr>
            <w:r>
              <w:rPr>
                <w:sz w:val="17"/>
              </w:rPr>
              <w:t>TBK m.49, m.61</w:t>
            </w:r>
          </w:p>
        </w:tc>
        <w:tc>
          <w:tcPr>
            <w:tcW w:w="1928" w:type="dxa"/>
          </w:tcPr>
          <w:p w:rsidR="00173894" w:rsidRDefault="000A4DFD">
            <w:pPr>
              <w:spacing w:after="20" w:line="252" w:lineRule="auto"/>
              <w:jc w:val="left"/>
            </w:pPr>
            <w:r>
              <w:rPr>
                <w:sz w:val="17"/>
              </w:rPr>
              <w:t>Para akışı; MASAK raporu</w:t>
            </w:r>
          </w:p>
        </w:tc>
      </w:tr>
    </w:tbl>
    <w:p w:rsidR="00173894" w:rsidRDefault="00173894">
      <w:pPr>
        <w:spacing w:after="0"/>
      </w:pPr>
    </w:p>
    <w:p w:rsidR="00173894" w:rsidRDefault="000A4DFD">
      <w:pPr>
        <w:keepNext/>
        <w:spacing w:after="60"/>
      </w:pPr>
      <w:r>
        <w:rPr>
          <w:b/>
          <w:color w:val="0C4E54"/>
        </w:rPr>
        <w:t>2. Dava açmadan önce kontrol listesi</w:t>
      </w:r>
    </w:p>
    <w:tbl>
      <w:tblPr>
        <w:tblStyle w:val="TabloKlavuzu"/>
        <w:tblW w:w="0" w:type="auto"/>
        <w:jc w:val="center"/>
        <w:tblLayout w:type="fixed"/>
        <w:tblLook w:val="04A0" w:firstRow="1" w:lastRow="0" w:firstColumn="1" w:lastColumn="0" w:noHBand="0" w:noVBand="1"/>
      </w:tblPr>
      <w:tblGrid>
        <w:gridCol w:w="1814"/>
        <w:gridCol w:w="7427"/>
      </w:tblGrid>
      <w:tr w:rsidR="00173894">
        <w:trPr>
          <w:jc w:val="center"/>
        </w:trPr>
        <w:tc>
          <w:tcPr>
            <w:tcW w:w="1814" w:type="dxa"/>
            <w:shd w:val="clear" w:color="auto" w:fill="0C4E54"/>
          </w:tcPr>
          <w:p w:rsidR="00173894" w:rsidRDefault="000A4DFD">
            <w:r>
              <w:rPr>
                <w:b/>
                <w:color w:val="FFFFFF"/>
                <w:sz w:val="19"/>
              </w:rPr>
              <w:t>Konu</w:t>
            </w:r>
          </w:p>
        </w:tc>
        <w:tc>
          <w:tcPr>
            <w:tcW w:w="7427" w:type="dxa"/>
            <w:shd w:val="clear" w:color="auto" w:fill="0C4E54"/>
          </w:tcPr>
          <w:p w:rsidR="00173894" w:rsidRDefault="000A4DFD">
            <w:r>
              <w:rPr>
                <w:b/>
                <w:color w:val="FFFFFF"/>
                <w:sz w:val="19"/>
              </w:rPr>
              <w:t>Değerlendirme</w:t>
            </w:r>
          </w:p>
        </w:tc>
      </w:tr>
      <w:tr w:rsidR="00173894">
        <w:trPr>
          <w:jc w:val="center"/>
        </w:trPr>
        <w:tc>
          <w:tcPr>
            <w:tcW w:w="1814" w:type="dxa"/>
          </w:tcPr>
          <w:p w:rsidR="00173894" w:rsidRDefault="000A4DFD">
            <w:pPr>
              <w:spacing w:after="20" w:line="252" w:lineRule="auto"/>
              <w:jc w:val="left"/>
            </w:pPr>
            <w:r>
              <w:rPr>
                <w:sz w:val="19"/>
              </w:rPr>
              <w:t>Zamanlama</w:t>
            </w:r>
          </w:p>
        </w:tc>
        <w:tc>
          <w:tcPr>
            <w:tcW w:w="7427" w:type="dxa"/>
          </w:tcPr>
          <w:p w:rsidR="00173894" w:rsidRDefault="000A4DFD">
            <w:pPr>
              <w:spacing w:after="20" w:line="252" w:lineRule="auto"/>
              <w:jc w:val="left"/>
            </w:pPr>
            <w:r>
              <w:rPr>
                <w:sz w:val="19"/>
              </w:rPr>
              <w:t>Tasfiye sürerken nihai ödeme ve zarar tutarı kesinleşmemiştir. Bu nedenle dava,</w:t>
            </w:r>
            <w:r>
              <w:rPr>
                <w:sz w:val="19"/>
              </w:rPr>
              <w:t xml:space="preserve"> HMK m.107 uyarınca belirsiz alacak davası olarak ve asgari tutar üzerinden açılmalı; tasfiye sonucu ve bilirkişi raporuyla alacak artırılmalıdır.</w:t>
            </w:r>
          </w:p>
        </w:tc>
      </w:tr>
      <w:tr w:rsidR="00173894">
        <w:trPr>
          <w:jc w:val="center"/>
        </w:trPr>
        <w:tc>
          <w:tcPr>
            <w:tcW w:w="1814" w:type="dxa"/>
            <w:shd w:val="clear" w:color="auto" w:fill="F4F7F7"/>
          </w:tcPr>
          <w:p w:rsidR="00173894" w:rsidRDefault="000A4DFD">
            <w:pPr>
              <w:spacing w:after="20" w:line="252" w:lineRule="auto"/>
              <w:jc w:val="left"/>
            </w:pPr>
            <w:r>
              <w:rPr>
                <w:sz w:val="19"/>
              </w:rPr>
              <w:t>Arabuluculuk</w:t>
            </w:r>
          </w:p>
        </w:tc>
        <w:tc>
          <w:tcPr>
            <w:tcW w:w="7427" w:type="dxa"/>
            <w:shd w:val="clear" w:color="auto" w:fill="F4F7F7"/>
          </w:tcPr>
          <w:p w:rsidR="00173894" w:rsidRDefault="000A4DFD">
            <w:pPr>
              <w:spacing w:after="20" w:line="252" w:lineRule="auto"/>
              <w:jc w:val="left"/>
            </w:pPr>
            <w:r>
              <w:rPr>
                <w:sz w:val="19"/>
              </w:rPr>
              <w:t>Ticari nitelikteki tazminat davalarında arabulucuya başvuru dava şartıdır (TTK m.5/A); davacını</w:t>
            </w:r>
            <w:r>
              <w:rPr>
                <w:sz w:val="19"/>
              </w:rPr>
              <w:t>n tüketici sayılması hâlinde de tüketici arabuluculuğu (6502 s.K. m.73/A) uygulanır. Son tutanak dilekçeye eklenmelidir. İhtiyati haciz talebi için arabuluculuk şartı aranmaz.</w:t>
            </w:r>
          </w:p>
        </w:tc>
      </w:tr>
      <w:tr w:rsidR="00173894">
        <w:trPr>
          <w:jc w:val="center"/>
        </w:trPr>
        <w:tc>
          <w:tcPr>
            <w:tcW w:w="1814" w:type="dxa"/>
          </w:tcPr>
          <w:p w:rsidR="00173894" w:rsidRDefault="000A4DFD">
            <w:pPr>
              <w:spacing w:after="20" w:line="252" w:lineRule="auto"/>
              <w:jc w:val="left"/>
            </w:pPr>
            <w:r>
              <w:rPr>
                <w:sz w:val="19"/>
              </w:rPr>
              <w:t>Görevli mahkeme</w:t>
            </w:r>
          </w:p>
        </w:tc>
        <w:tc>
          <w:tcPr>
            <w:tcW w:w="7427" w:type="dxa"/>
          </w:tcPr>
          <w:p w:rsidR="00173894" w:rsidRDefault="000A4DFD">
            <w:pPr>
              <w:spacing w:after="20" w:line="252" w:lineRule="auto"/>
              <w:jc w:val="left"/>
            </w:pPr>
            <w:r>
              <w:rPr>
                <w:sz w:val="19"/>
              </w:rPr>
              <w:t xml:space="preserve">Kurucunun finansal kurum niteliği nedeniyle asliye ticaret </w:t>
            </w:r>
            <w:r>
              <w:rPr>
                <w:sz w:val="19"/>
              </w:rPr>
              <w:t>mahkemesi görevli kabul edilmektedir (TTK m.4). Bireysel yatırımcının tüketici sayılıp sayılmayacağı konusunda içtihat farklılığı bulunduğundan güncel Yargıtay kararları kontrol edilmelidir.</w:t>
            </w:r>
          </w:p>
        </w:tc>
      </w:tr>
      <w:tr w:rsidR="00173894">
        <w:trPr>
          <w:jc w:val="center"/>
        </w:trPr>
        <w:tc>
          <w:tcPr>
            <w:tcW w:w="1814" w:type="dxa"/>
            <w:shd w:val="clear" w:color="auto" w:fill="F4F7F7"/>
          </w:tcPr>
          <w:p w:rsidR="00173894" w:rsidRDefault="000A4DFD">
            <w:pPr>
              <w:spacing w:after="20" w:line="252" w:lineRule="auto"/>
              <w:jc w:val="left"/>
            </w:pPr>
            <w:r>
              <w:rPr>
                <w:sz w:val="19"/>
              </w:rPr>
              <w:t>Yetkili mahkeme</w:t>
            </w:r>
          </w:p>
        </w:tc>
        <w:tc>
          <w:tcPr>
            <w:tcW w:w="7427" w:type="dxa"/>
            <w:shd w:val="clear" w:color="auto" w:fill="F4F7F7"/>
          </w:tcPr>
          <w:p w:rsidR="00173894" w:rsidRDefault="000A4DFD">
            <w:pPr>
              <w:spacing w:after="20" w:line="252" w:lineRule="auto"/>
              <w:jc w:val="left"/>
            </w:pPr>
            <w:r>
              <w:rPr>
                <w:sz w:val="19"/>
              </w:rPr>
              <w:t>Davalılardan birinin yerleşim yeri (HMK m.6–7) v</w:t>
            </w:r>
            <w:r>
              <w:rPr>
                <w:sz w:val="19"/>
              </w:rPr>
              <w:t>eya haksız fiilin işlendiği ya da zararın doğduğu yer (HMK m.16). Kurucunun merkezi İstanbul ise İstanbul Asliye Ticaret Mahkemesi en pratik seçenektir.</w:t>
            </w:r>
          </w:p>
        </w:tc>
      </w:tr>
      <w:tr w:rsidR="00173894">
        <w:trPr>
          <w:jc w:val="center"/>
        </w:trPr>
        <w:tc>
          <w:tcPr>
            <w:tcW w:w="1814" w:type="dxa"/>
          </w:tcPr>
          <w:p w:rsidR="00173894" w:rsidRDefault="000A4DFD">
            <w:pPr>
              <w:spacing w:after="20" w:line="252" w:lineRule="auto"/>
              <w:jc w:val="left"/>
            </w:pPr>
            <w:r>
              <w:rPr>
                <w:sz w:val="19"/>
              </w:rPr>
              <w:t>Zamanaşımı</w:t>
            </w:r>
          </w:p>
        </w:tc>
        <w:tc>
          <w:tcPr>
            <w:tcW w:w="7427" w:type="dxa"/>
          </w:tcPr>
          <w:p w:rsidR="00173894" w:rsidRDefault="000A4DFD">
            <w:pPr>
              <w:spacing w:after="20" w:line="252" w:lineRule="auto"/>
              <w:jc w:val="left"/>
            </w:pPr>
            <w:r>
              <w:rPr>
                <w:sz w:val="19"/>
              </w:rPr>
              <w:t>Haksız fiilde öğrenmeden itibaren 2 yıl ve her hâlde 10 yıl; fiil aynı zamanda daha uzun ce</w:t>
            </w:r>
            <w:r>
              <w:rPr>
                <w:sz w:val="19"/>
              </w:rPr>
              <w:t>za zamanaşımına tabi bir suç ise o süre (TBK m.72). Sözleşmesel sorumlulukta 10 yıl (TBK m.146).</w:t>
            </w:r>
          </w:p>
        </w:tc>
      </w:tr>
      <w:tr w:rsidR="00173894">
        <w:trPr>
          <w:jc w:val="center"/>
        </w:trPr>
        <w:tc>
          <w:tcPr>
            <w:tcW w:w="1814" w:type="dxa"/>
            <w:shd w:val="clear" w:color="auto" w:fill="F4F7F7"/>
          </w:tcPr>
          <w:p w:rsidR="00173894" w:rsidRDefault="000A4DFD">
            <w:pPr>
              <w:spacing w:after="20" w:line="252" w:lineRule="auto"/>
              <w:jc w:val="left"/>
            </w:pPr>
            <w:r>
              <w:rPr>
                <w:sz w:val="19"/>
              </w:rPr>
              <w:t>Ceza dosyası</w:t>
            </w:r>
          </w:p>
        </w:tc>
        <w:tc>
          <w:tcPr>
            <w:tcW w:w="7427" w:type="dxa"/>
            <w:shd w:val="clear" w:color="auto" w:fill="F4F7F7"/>
          </w:tcPr>
          <w:p w:rsidR="00173894" w:rsidRDefault="000A4DFD">
            <w:pPr>
              <w:spacing w:after="20" w:line="252" w:lineRule="auto"/>
              <w:jc w:val="left"/>
            </w:pPr>
            <w:r>
              <w:rPr>
                <w:sz w:val="19"/>
              </w:rPr>
              <w:t>Ceza soruşturmasındaki bilirkişi ve SPK raporları, illiyet bağının ispatında en güçlü delil olacaktır. Hukuk davasının ceza dosyası beklenerek yü</w:t>
            </w:r>
            <w:r>
              <w:rPr>
                <w:sz w:val="19"/>
              </w:rPr>
              <w:t>rütülmesi (bekletici mesele) talep edilebilir.</w:t>
            </w:r>
          </w:p>
        </w:tc>
      </w:tr>
    </w:tbl>
    <w:p w:rsidR="00173894" w:rsidRDefault="000A4DFD">
      <w:pPr>
        <w:spacing w:after="0"/>
      </w:pPr>
      <w:r>
        <w:br w:type="page"/>
      </w:r>
    </w:p>
    <w:p w:rsidR="00173894" w:rsidRPr="00703A36" w:rsidRDefault="000A4DFD">
      <w:pPr>
        <w:keepNext/>
        <w:pBdr>
          <w:bottom w:val="single" w:sz="6" w:space="1" w:color="0C4E54"/>
        </w:pBdr>
        <w:spacing w:before="240"/>
        <w:rPr>
          <w:color w:val="E36C0A" w:themeColor="accent6" w:themeShade="BF"/>
        </w:rPr>
      </w:pPr>
      <w:r w:rsidRPr="00703A36">
        <w:rPr>
          <w:b/>
          <w:color w:val="E36C0A" w:themeColor="accent6" w:themeShade="BF"/>
          <w:sz w:val="23"/>
        </w:rPr>
        <w:lastRenderedPageBreak/>
        <w:t>BÖLÜM B — DAVA DİLEKÇESİ</w:t>
      </w:r>
    </w:p>
    <w:p w:rsidR="00173894" w:rsidRDefault="000A4DFD">
      <w:pPr>
        <w:spacing w:after="0"/>
        <w:jc w:val="center"/>
      </w:pPr>
      <w:r>
        <w:rPr>
          <w:b/>
          <w:color w:val="0C4E54"/>
          <w:sz w:val="25"/>
        </w:rPr>
        <w:t>İSTANBUL NÖBETÇİ ASLİYE TİCARET MAHKEMESİ’NE</w:t>
      </w:r>
    </w:p>
    <w:p w:rsidR="00173894" w:rsidRDefault="000A4DFD">
      <w:pPr>
        <w:spacing w:after="200"/>
        <w:jc w:val="center"/>
      </w:pPr>
      <w:r>
        <w:rPr>
          <w:b/>
        </w:rPr>
        <w:t>İHTİYATİ HACİZ TALEPLİDİR</w:t>
      </w:r>
    </w:p>
    <w:tbl>
      <w:tblPr>
        <w:tblStyle w:val="TabloKlavuzu"/>
        <w:tblW w:w="0" w:type="auto"/>
        <w:jc w:val="center"/>
        <w:tblLayout w:type="fixed"/>
        <w:tblLook w:val="04A0" w:firstRow="1" w:lastRow="0" w:firstColumn="1" w:lastColumn="0" w:noHBand="0" w:noVBand="1"/>
      </w:tblPr>
      <w:tblGrid>
        <w:gridCol w:w="2268"/>
        <w:gridCol w:w="6973"/>
      </w:tblGrid>
      <w:tr w:rsidR="00173894">
        <w:trPr>
          <w:jc w:val="center"/>
        </w:trPr>
        <w:tc>
          <w:tcPr>
            <w:tcW w:w="2268" w:type="dxa"/>
            <w:shd w:val="clear" w:color="auto" w:fill="EEF3F3"/>
          </w:tcPr>
          <w:p w:rsidR="00173894" w:rsidRDefault="000A4DFD">
            <w:pPr>
              <w:spacing w:after="20" w:line="252" w:lineRule="auto"/>
              <w:jc w:val="left"/>
            </w:pPr>
            <w:r>
              <w:rPr>
                <w:b/>
                <w:color w:val="0C4E54"/>
                <w:sz w:val="20"/>
              </w:rPr>
              <w:t>DAVACI</w:t>
            </w:r>
          </w:p>
        </w:tc>
        <w:tc>
          <w:tcPr>
            <w:tcW w:w="6973" w:type="dxa"/>
          </w:tcPr>
          <w:p w:rsidR="00173894" w:rsidRDefault="000A4DFD">
            <w:pPr>
              <w:spacing w:after="20" w:line="252" w:lineRule="auto"/>
              <w:jc w:val="left"/>
            </w:pPr>
            <w:r>
              <w:rPr>
                <w:sz w:val="20"/>
              </w:rPr>
              <w:t>Adı Soyadı: [●]</w:t>
            </w:r>
            <w:r>
              <w:rPr>
                <w:sz w:val="20"/>
              </w:rPr>
              <w:br/>
              <w:t>T.C. Kimlik No: [●]</w:t>
            </w:r>
            <w:r>
              <w:rPr>
                <w:sz w:val="20"/>
              </w:rPr>
              <w:br/>
              <w:t>Adres: [●]</w:t>
            </w:r>
          </w:p>
        </w:tc>
      </w:tr>
      <w:tr w:rsidR="00173894">
        <w:trPr>
          <w:jc w:val="center"/>
        </w:trPr>
        <w:tc>
          <w:tcPr>
            <w:tcW w:w="2268" w:type="dxa"/>
            <w:shd w:val="clear" w:color="auto" w:fill="EEF3F3"/>
          </w:tcPr>
          <w:p w:rsidR="00173894" w:rsidRDefault="000A4DFD">
            <w:pPr>
              <w:spacing w:after="20" w:line="252" w:lineRule="auto"/>
              <w:jc w:val="left"/>
            </w:pPr>
            <w:r>
              <w:rPr>
                <w:b/>
                <w:color w:val="0C4E54"/>
                <w:sz w:val="20"/>
              </w:rPr>
              <w:t>VEKİLİ</w:t>
            </w:r>
          </w:p>
        </w:tc>
        <w:tc>
          <w:tcPr>
            <w:tcW w:w="6973" w:type="dxa"/>
          </w:tcPr>
          <w:p w:rsidR="00173894" w:rsidRDefault="00703A36">
            <w:pPr>
              <w:spacing w:after="20" w:line="252" w:lineRule="auto"/>
              <w:jc w:val="left"/>
            </w:pPr>
            <w:r>
              <w:rPr>
                <w:sz w:val="20"/>
              </w:rPr>
              <w:t>Av……………..</w:t>
            </w:r>
            <w:r w:rsidR="000A4DFD">
              <w:rPr>
                <w:sz w:val="20"/>
              </w:rPr>
              <w:t xml:space="preserve"> — [●] Barosu, Sicil No: [●]</w:t>
            </w:r>
            <w:r w:rsidR="000A4DFD">
              <w:rPr>
                <w:sz w:val="20"/>
              </w:rPr>
              <w:br/>
            </w:r>
            <w:r w:rsidR="000A4DFD">
              <w:rPr>
                <w:sz w:val="20"/>
              </w:rPr>
              <w:t>Adres: [●]  |  UETS / KEP: [●]</w:t>
            </w:r>
          </w:p>
        </w:tc>
      </w:tr>
      <w:tr w:rsidR="00173894">
        <w:trPr>
          <w:jc w:val="center"/>
        </w:trPr>
        <w:tc>
          <w:tcPr>
            <w:tcW w:w="2268" w:type="dxa"/>
            <w:shd w:val="clear" w:color="auto" w:fill="EEF3F3"/>
          </w:tcPr>
          <w:p w:rsidR="00173894" w:rsidRDefault="000A4DFD">
            <w:pPr>
              <w:spacing w:after="20" w:line="252" w:lineRule="auto"/>
              <w:jc w:val="left"/>
            </w:pPr>
            <w:r>
              <w:rPr>
                <w:b/>
                <w:color w:val="0C4E54"/>
                <w:sz w:val="20"/>
              </w:rPr>
              <w:t>DAVALILAR</w:t>
            </w:r>
          </w:p>
        </w:tc>
        <w:tc>
          <w:tcPr>
            <w:tcW w:w="6973" w:type="dxa"/>
          </w:tcPr>
          <w:p w:rsidR="00173894" w:rsidRDefault="000A4DFD">
            <w:pPr>
              <w:spacing w:after="20" w:line="252" w:lineRule="auto"/>
              <w:jc w:val="left"/>
            </w:pPr>
            <w:r>
              <w:rPr>
                <w:sz w:val="20"/>
              </w:rPr>
              <w:t>1) [●] Portföy Yönetimi A.Ş. (fonun kurucusu) — MERSİS No: [●], Adres: [●]</w:t>
            </w:r>
            <w:r>
              <w:rPr>
                <w:sz w:val="20"/>
              </w:rPr>
              <w:br/>
              <w:t>2) [●] (PYŞ yönetim kurulu üyesi / fon yöneticisi) — T.C. No: [●], Adres: [●]</w:t>
            </w:r>
            <w:r>
              <w:rPr>
                <w:sz w:val="20"/>
              </w:rPr>
              <w:br/>
              <w:t xml:space="preserve">3) [●] (kriz öncesi portföy saklayıcısı) — Adres: [●] [somut </w:t>
            </w:r>
            <w:r>
              <w:rPr>
                <w:sz w:val="20"/>
              </w:rPr>
              <w:t>gözetim ihlali varsa]</w:t>
            </w:r>
            <w:r>
              <w:rPr>
                <w:sz w:val="20"/>
              </w:rPr>
              <w:br/>
              <w:t>4) [●] (dağıtıcı banka / aracı kurum) — Adres: [●] [somut satış ihlali varsa]</w:t>
            </w:r>
          </w:p>
        </w:tc>
      </w:tr>
      <w:tr w:rsidR="00173894">
        <w:trPr>
          <w:jc w:val="center"/>
        </w:trPr>
        <w:tc>
          <w:tcPr>
            <w:tcW w:w="2268" w:type="dxa"/>
            <w:shd w:val="clear" w:color="auto" w:fill="EEF3F3"/>
          </w:tcPr>
          <w:p w:rsidR="00173894" w:rsidRDefault="000A4DFD">
            <w:pPr>
              <w:spacing w:after="20" w:line="252" w:lineRule="auto"/>
              <w:jc w:val="left"/>
            </w:pPr>
            <w:r>
              <w:rPr>
                <w:b/>
                <w:color w:val="0C4E54"/>
                <w:sz w:val="20"/>
              </w:rPr>
              <w:t>ARABULUCULUK</w:t>
            </w:r>
          </w:p>
        </w:tc>
        <w:tc>
          <w:tcPr>
            <w:tcW w:w="6973" w:type="dxa"/>
          </w:tcPr>
          <w:p w:rsidR="00173894" w:rsidRDefault="000A4DFD">
            <w:pPr>
              <w:spacing w:after="20" w:line="252" w:lineRule="auto"/>
              <w:jc w:val="left"/>
            </w:pPr>
            <w:r>
              <w:rPr>
                <w:sz w:val="20"/>
              </w:rPr>
              <w:t>[●] Arabuluculuk Bürosu, [dosya no], [tarih] tarihli anlaşamama son tutanağı (Ek-2)</w:t>
            </w:r>
          </w:p>
        </w:tc>
      </w:tr>
      <w:tr w:rsidR="00173894">
        <w:trPr>
          <w:jc w:val="center"/>
        </w:trPr>
        <w:tc>
          <w:tcPr>
            <w:tcW w:w="2268" w:type="dxa"/>
            <w:shd w:val="clear" w:color="auto" w:fill="EEF3F3"/>
          </w:tcPr>
          <w:p w:rsidR="00173894" w:rsidRDefault="000A4DFD">
            <w:pPr>
              <w:spacing w:after="20" w:line="252" w:lineRule="auto"/>
              <w:jc w:val="left"/>
            </w:pPr>
            <w:r>
              <w:rPr>
                <w:b/>
                <w:color w:val="0C4E54"/>
                <w:sz w:val="20"/>
              </w:rPr>
              <w:t>DAVA DEĞERİ</w:t>
            </w:r>
          </w:p>
        </w:tc>
        <w:tc>
          <w:tcPr>
            <w:tcW w:w="6973" w:type="dxa"/>
          </w:tcPr>
          <w:p w:rsidR="00173894" w:rsidRDefault="000A4DFD">
            <w:pPr>
              <w:spacing w:after="20" w:line="252" w:lineRule="auto"/>
              <w:jc w:val="left"/>
            </w:pPr>
            <w:r>
              <w:rPr>
                <w:sz w:val="20"/>
              </w:rPr>
              <w:t xml:space="preserve">Şimdilik [●] TL (HMK m.107 uyarınca belirsiz </w:t>
            </w:r>
            <w:r>
              <w:rPr>
                <w:sz w:val="20"/>
              </w:rPr>
              <w:t>alacak; fazlaya ilişkin haklar saklıdır)</w:t>
            </w:r>
          </w:p>
        </w:tc>
      </w:tr>
      <w:tr w:rsidR="00173894">
        <w:trPr>
          <w:jc w:val="center"/>
        </w:trPr>
        <w:tc>
          <w:tcPr>
            <w:tcW w:w="2268" w:type="dxa"/>
            <w:shd w:val="clear" w:color="auto" w:fill="EEF3F3"/>
          </w:tcPr>
          <w:p w:rsidR="00173894" w:rsidRDefault="000A4DFD">
            <w:pPr>
              <w:spacing w:after="20" w:line="252" w:lineRule="auto"/>
              <w:jc w:val="left"/>
            </w:pPr>
            <w:r>
              <w:rPr>
                <w:b/>
                <w:color w:val="0C4E54"/>
                <w:sz w:val="20"/>
              </w:rPr>
              <w:t>KONU</w:t>
            </w:r>
          </w:p>
        </w:tc>
        <w:tc>
          <w:tcPr>
            <w:tcW w:w="6973" w:type="dxa"/>
          </w:tcPr>
          <w:p w:rsidR="00173894" w:rsidRDefault="000A4DFD">
            <w:pPr>
              <w:spacing w:after="20" w:line="252" w:lineRule="auto"/>
              <w:jc w:val="left"/>
            </w:pPr>
            <w:r>
              <w:rPr>
                <w:sz w:val="20"/>
              </w:rPr>
              <w:t>[fon adı / TEFAS kodu] fonuna yapılan yatırım nedeniyle davalıların hukuka aykırı eylem, ihmal ve kusurlarından doğan zararın, belirsiz alacak olarak şimdilik [●] TL’sinin zarar tarihinden itibaren işleyecek a</w:t>
            </w:r>
            <w:r>
              <w:rPr>
                <w:sz w:val="20"/>
              </w:rPr>
              <w:t>vans faiziyle birlikte davalılardan müteselsilen tahsili ile İİK m.257 uyarınca ihtiyati haciz kararı verilmesi talebidir.</w:t>
            </w:r>
          </w:p>
        </w:tc>
      </w:tr>
    </w:tbl>
    <w:p w:rsidR="00173894" w:rsidRDefault="00173894">
      <w:pPr>
        <w:spacing w:after="0"/>
      </w:pPr>
    </w:p>
    <w:p w:rsidR="00173894" w:rsidRDefault="000A4DFD">
      <w:pPr>
        <w:keepNext/>
        <w:pBdr>
          <w:bottom w:val="single" w:sz="6" w:space="1" w:color="0C4E54"/>
        </w:pBdr>
        <w:spacing w:before="240"/>
      </w:pPr>
      <w:r>
        <w:rPr>
          <w:b/>
          <w:color w:val="0C4E54"/>
          <w:sz w:val="23"/>
        </w:rPr>
        <w:t>I. OLAYLAR</w:t>
      </w:r>
    </w:p>
    <w:p w:rsidR="00173894" w:rsidRDefault="000A4DFD">
      <w:pPr>
        <w:tabs>
          <w:tab w:val="left" w:pos="454"/>
        </w:tabs>
        <w:ind w:left="454" w:hanging="454"/>
      </w:pPr>
      <w:r>
        <w:rPr>
          <w:b/>
        </w:rPr>
        <w:t>1.</w:t>
      </w:r>
      <w:r>
        <w:rPr>
          <w:b/>
        </w:rPr>
        <w:tab/>
      </w:r>
      <w:r>
        <w:t xml:space="preserve">Müvekkil, [●] Portföy Yönetimi A.Ş.’nin kurucusu olduğu [fon adı ve kodu] fonuna [●] (dağıtıcı kuruluş) aracılığıyla </w:t>
      </w:r>
      <w:r>
        <w:t>[tarih] ile [tarih] arasında toplam [●] TL yatırım yapmış ve [●] adet katılma payı edinmiştir (Ek-3).</w:t>
      </w:r>
    </w:p>
    <w:p w:rsidR="00173894" w:rsidRDefault="000A4DFD">
      <w:pPr>
        <w:tabs>
          <w:tab w:val="left" w:pos="454"/>
        </w:tabs>
        <w:ind w:left="454" w:hanging="454"/>
      </w:pPr>
      <w:r>
        <w:rPr>
          <w:b/>
        </w:rPr>
        <w:t>2.</w:t>
      </w:r>
      <w:r>
        <w:rPr>
          <w:b/>
        </w:rPr>
        <w:tab/>
      </w:r>
      <w:r>
        <w:t>Fonun portföyü, izahnamede açıklanan stratejinin aksine, fiili dolaşımı düşük sınırlı sayıda payda yoğunlaşmıştır. [Somut veri: payın kodu, fondaki ora</w:t>
      </w:r>
      <w:r>
        <w:t>nı, tarih.] Müvekkilin [tarih/saat] tarihli iade talimatı yerine getirilmemiştir.</w:t>
      </w:r>
    </w:p>
    <w:p w:rsidR="00173894" w:rsidRDefault="000A4DFD">
      <w:pPr>
        <w:tabs>
          <w:tab w:val="left" w:pos="454"/>
        </w:tabs>
        <w:ind w:left="454" w:hanging="454"/>
      </w:pPr>
      <w:r>
        <w:rPr>
          <w:b/>
        </w:rPr>
        <w:t>3.</w:t>
      </w:r>
      <w:r>
        <w:rPr>
          <w:b/>
        </w:rPr>
        <w:tab/>
      </w:r>
      <w:r>
        <w:t>Sermaye Piyasası Kurulu 16.09.2026 tarihinde bazı paylardaki işlemler nedeniyle 38 kişi hakkında suç duyurusunda bulunmuş; 17.09.2026 tarih ve 57/1708 sayılı kararıyla yed</w:t>
      </w:r>
      <w:r>
        <w:t>i portföy yönetim şirketine ait 131 fonu tasfiye kapsamına almış; 20.09.2026 tarihinde tasfiye süresini altı aya çıkarmıştır. Müvekkilin fonu bu kapsamdadır.</w:t>
      </w:r>
    </w:p>
    <w:p w:rsidR="00173894" w:rsidRDefault="000A4DFD">
      <w:pPr>
        <w:tabs>
          <w:tab w:val="left" w:pos="454"/>
        </w:tabs>
        <w:ind w:left="454" w:hanging="454"/>
      </w:pPr>
      <w:r>
        <w:rPr>
          <w:b/>
        </w:rPr>
        <w:t>4.</w:t>
      </w:r>
      <w:r>
        <w:rPr>
          <w:b/>
        </w:rPr>
        <w:tab/>
      </w:r>
      <w:r>
        <w:t>İstanbul Cumhuriyet Başsavcılığınca yürütülen soruşturmada, kamuoyuna yansıyan bilgilere göre ç</w:t>
      </w:r>
      <w:r>
        <w:t>ok sayıda şüpheli hakkında işlem yapılmış ve tutuklama kararları verilmiştir. Müvekkil soruşturmaya müşteki olarak katılmıştır [soruşturma no: ●].</w:t>
      </w:r>
    </w:p>
    <w:p w:rsidR="00173894" w:rsidRDefault="000A4DFD">
      <w:pPr>
        <w:keepNext/>
        <w:pBdr>
          <w:bottom w:val="single" w:sz="6" w:space="1" w:color="0C4E54"/>
        </w:pBdr>
        <w:spacing w:before="240"/>
      </w:pPr>
      <w:r>
        <w:rPr>
          <w:b/>
          <w:color w:val="0C4E54"/>
          <w:sz w:val="23"/>
        </w:rPr>
        <w:t>II. DAVALILARIN SORUMLULUĞU</w:t>
      </w:r>
    </w:p>
    <w:p w:rsidR="00173894" w:rsidRDefault="000A4DFD">
      <w:r>
        <w:t>Müvekkilin talebi salt piyasa fiyatlarının düşmesine dayanmamaktadır. Davanın tem</w:t>
      </w:r>
      <w:r>
        <w:t>elini aşağıdaki yükümlülük ihlalleri oluşturmaktadır:</w:t>
      </w:r>
    </w:p>
    <w:p w:rsidR="00173894" w:rsidRDefault="000A4DFD">
      <w:pPr>
        <w:keepNext/>
        <w:spacing w:after="60"/>
      </w:pPr>
      <w:r>
        <w:rPr>
          <w:b/>
          <w:color w:val="0C4E54"/>
        </w:rPr>
        <w:t>1. Kurucu portföy yönetim şirketinin sorumluluğu</w:t>
      </w:r>
    </w:p>
    <w:p w:rsidR="00173894" w:rsidRDefault="000A4DFD">
      <w:r>
        <w:t xml:space="preserve">Kurucu, fonu içtüzük, izahname ve sermaye piyasası mevzuatına uygun olarak, katılma payı sahiplerinin menfaatini gözeterek yönetmekle yükümlüdür. </w:t>
      </w:r>
      <w:r>
        <w:t>Portföyün yatırım stratejisinden saparak yoğunlaştırılması, gerçek piyasa derinliğini yansıtmayan değerleme, ilişkili taraf işlemleri ve likidite riskinin yönetilmemesi bu yükümlülüğün ağır ihlalidir. Kurucu, bu ilişkide vekil gibi özen ve sadakat borcu al</w:t>
      </w:r>
      <w:r>
        <w:t>tındadır (TBK m.506) ve ayrıca haksız fiil hükümlerine göre sorumludur (TBK m.49).</w:t>
      </w:r>
    </w:p>
    <w:p w:rsidR="00173894" w:rsidRDefault="000A4DFD">
      <w:pPr>
        <w:keepNext/>
        <w:spacing w:after="60"/>
      </w:pPr>
      <w:r>
        <w:rPr>
          <w:b/>
          <w:color w:val="0C4E54"/>
        </w:rPr>
        <w:lastRenderedPageBreak/>
        <w:t>2. Yöneticilerin kişisel sorumluluğu</w:t>
      </w:r>
    </w:p>
    <w:p w:rsidR="00173894" w:rsidRDefault="000A4DFD">
      <w:r>
        <w:t>Kurucunun yönetim kurulu üyeleri ve fon yöneticileri, fon işlemlerini bizzat yöneten ve karar alan kişilerdir. Bu kişilerin çıkar çatışm</w:t>
      </w:r>
      <w:r>
        <w:t>ası içinde yaptıkları işlemler ve kişisel işlemleri ile fon işlemleri arasındaki bağlantı, TBK m.49 kapsamında kişisel sorumluluklarını doğurmaktadır.</w:t>
      </w:r>
    </w:p>
    <w:p w:rsidR="00173894" w:rsidRDefault="000A4DFD">
      <w:pPr>
        <w:keepNext/>
        <w:spacing w:after="60"/>
      </w:pPr>
      <w:r>
        <w:rPr>
          <w:b/>
          <w:color w:val="0C4E54"/>
        </w:rPr>
        <w:t>3. Portföy saklayıcısının ve dağıtıcı kuruluşun sorumluluğu</w:t>
      </w:r>
    </w:p>
    <w:p w:rsidR="00173894" w:rsidRDefault="000A4DFD">
      <w:r>
        <w:t>Portföy saklayıcısı, fonun mevzuata ve izahna</w:t>
      </w:r>
      <w:r>
        <w:t xml:space="preserve">meye uygun yönetilmesini gözetmek ve aykırılıkları Kurula bildirmekle yükümlüdür (SPKn m.56). Dağıtıcı kuruluş ise müvekkilin risk profiline uygunluk değerlendirmesini gerçeğe uygun yapmak ve fonun risklerini açıkça bildirmek zorundadır. [Somut olgu yoksa </w:t>
      </w:r>
      <w:r>
        <w:t>bu davalılar ve bu paragraf çıkarılmalıdır.]</w:t>
      </w:r>
    </w:p>
    <w:p w:rsidR="00173894" w:rsidRDefault="000A4DFD">
      <w:pPr>
        <w:keepNext/>
        <w:spacing w:after="60"/>
      </w:pPr>
      <w:r>
        <w:rPr>
          <w:b/>
          <w:color w:val="0C4E54"/>
        </w:rPr>
        <w:t>4. Müteselsil sorumluluk</w:t>
      </w:r>
    </w:p>
    <w:p w:rsidR="00173894" w:rsidRDefault="000A4DFD">
      <w:r>
        <w:t>Zarar, davalıların birlikte ve birbirini tamamlayan eylem ve ihmalleriyle meydana geldiğinden, davalılar müvekkile karşı müteselsilen sorumludur (TBK m.61–62).</w:t>
      </w:r>
    </w:p>
    <w:p w:rsidR="00173894" w:rsidRDefault="000A4DFD">
      <w:pPr>
        <w:keepNext/>
        <w:pBdr>
          <w:bottom w:val="single" w:sz="6" w:space="1" w:color="0C4E54"/>
        </w:pBdr>
        <w:spacing w:before="240"/>
      </w:pPr>
      <w:r>
        <w:rPr>
          <w:b/>
          <w:color w:val="0C4E54"/>
          <w:sz w:val="23"/>
        </w:rPr>
        <w:t>III. ZARAR VE İLLİYET BAĞI</w:t>
      </w:r>
    </w:p>
    <w:tbl>
      <w:tblPr>
        <w:tblStyle w:val="TabloKlavuzu"/>
        <w:tblW w:w="0" w:type="auto"/>
        <w:jc w:val="center"/>
        <w:tblLayout w:type="fixed"/>
        <w:tblLook w:val="04A0" w:firstRow="1" w:lastRow="0" w:firstColumn="1" w:lastColumn="0" w:noHBand="0" w:noVBand="1"/>
      </w:tblPr>
      <w:tblGrid>
        <w:gridCol w:w="3118"/>
        <w:gridCol w:w="1701"/>
        <w:gridCol w:w="4422"/>
      </w:tblGrid>
      <w:tr w:rsidR="00173894">
        <w:trPr>
          <w:jc w:val="center"/>
        </w:trPr>
        <w:tc>
          <w:tcPr>
            <w:tcW w:w="3118" w:type="dxa"/>
            <w:shd w:val="clear" w:color="auto" w:fill="0C4E54"/>
          </w:tcPr>
          <w:p w:rsidR="00173894" w:rsidRDefault="000A4DFD">
            <w:r>
              <w:rPr>
                <w:b/>
                <w:color w:val="FFFFFF"/>
                <w:sz w:val="19"/>
              </w:rPr>
              <w:t>Kalem</w:t>
            </w:r>
          </w:p>
        </w:tc>
        <w:tc>
          <w:tcPr>
            <w:tcW w:w="1701" w:type="dxa"/>
            <w:shd w:val="clear" w:color="auto" w:fill="0C4E54"/>
          </w:tcPr>
          <w:p w:rsidR="00173894" w:rsidRDefault="000A4DFD">
            <w:r>
              <w:rPr>
                <w:b/>
                <w:color w:val="FFFFFF"/>
                <w:sz w:val="19"/>
              </w:rPr>
              <w:t>Tutar (TL)</w:t>
            </w:r>
          </w:p>
        </w:tc>
        <w:tc>
          <w:tcPr>
            <w:tcW w:w="4422" w:type="dxa"/>
            <w:shd w:val="clear" w:color="auto" w:fill="0C4E54"/>
          </w:tcPr>
          <w:p w:rsidR="00173894" w:rsidRDefault="000A4DFD">
            <w:r>
              <w:rPr>
                <w:b/>
                <w:color w:val="FFFFFF"/>
                <w:sz w:val="19"/>
              </w:rPr>
              <w:t>Açıklama</w:t>
            </w:r>
          </w:p>
        </w:tc>
      </w:tr>
      <w:tr w:rsidR="00173894">
        <w:trPr>
          <w:jc w:val="center"/>
        </w:trPr>
        <w:tc>
          <w:tcPr>
            <w:tcW w:w="3118" w:type="dxa"/>
          </w:tcPr>
          <w:p w:rsidR="00173894" w:rsidRDefault="000A4DFD">
            <w:pPr>
              <w:spacing w:after="20" w:line="252" w:lineRule="auto"/>
              <w:jc w:val="left"/>
            </w:pPr>
            <w:r>
              <w:rPr>
                <w:sz w:val="19"/>
              </w:rPr>
              <w:t>Toplam yatırım</w:t>
            </w:r>
          </w:p>
        </w:tc>
        <w:tc>
          <w:tcPr>
            <w:tcW w:w="1701" w:type="dxa"/>
          </w:tcPr>
          <w:p w:rsidR="00173894" w:rsidRDefault="000A4DFD">
            <w:pPr>
              <w:spacing w:after="20" w:line="252" w:lineRule="auto"/>
              <w:jc w:val="left"/>
            </w:pPr>
            <w:r>
              <w:rPr>
                <w:sz w:val="19"/>
              </w:rPr>
              <w:t>[●]</w:t>
            </w:r>
          </w:p>
        </w:tc>
        <w:tc>
          <w:tcPr>
            <w:tcW w:w="4422" w:type="dxa"/>
          </w:tcPr>
          <w:p w:rsidR="00173894" w:rsidRDefault="000A4DFD">
            <w:pPr>
              <w:spacing w:after="20" w:line="252" w:lineRule="auto"/>
              <w:jc w:val="left"/>
            </w:pPr>
            <w:r>
              <w:rPr>
                <w:sz w:val="19"/>
              </w:rPr>
              <w:t>Alım dekontları (Ek-3)</w:t>
            </w:r>
          </w:p>
        </w:tc>
      </w:tr>
      <w:tr w:rsidR="00173894">
        <w:trPr>
          <w:jc w:val="center"/>
        </w:trPr>
        <w:tc>
          <w:tcPr>
            <w:tcW w:w="3118" w:type="dxa"/>
            <w:shd w:val="clear" w:color="auto" w:fill="F4F7F7"/>
          </w:tcPr>
          <w:p w:rsidR="00173894" w:rsidRDefault="000A4DFD">
            <w:pPr>
              <w:spacing w:after="20" w:line="252" w:lineRule="auto"/>
              <w:jc w:val="left"/>
            </w:pPr>
            <w:r>
              <w:rPr>
                <w:sz w:val="19"/>
              </w:rPr>
              <w:t>Tasfiye / iade yoluyla tahsil edilen</w:t>
            </w:r>
          </w:p>
        </w:tc>
        <w:tc>
          <w:tcPr>
            <w:tcW w:w="1701" w:type="dxa"/>
            <w:shd w:val="clear" w:color="auto" w:fill="F4F7F7"/>
          </w:tcPr>
          <w:p w:rsidR="00173894" w:rsidRDefault="000A4DFD">
            <w:pPr>
              <w:spacing w:after="20" w:line="252" w:lineRule="auto"/>
              <w:jc w:val="left"/>
            </w:pPr>
            <w:r>
              <w:rPr>
                <w:sz w:val="19"/>
              </w:rPr>
              <w:t>[●]</w:t>
            </w:r>
          </w:p>
        </w:tc>
        <w:tc>
          <w:tcPr>
            <w:tcW w:w="4422" w:type="dxa"/>
            <w:shd w:val="clear" w:color="auto" w:fill="F4F7F7"/>
          </w:tcPr>
          <w:p w:rsidR="00173894" w:rsidRDefault="000A4DFD">
            <w:pPr>
              <w:spacing w:after="20" w:line="252" w:lineRule="auto"/>
              <w:jc w:val="left"/>
            </w:pPr>
            <w:r>
              <w:rPr>
                <w:sz w:val="19"/>
              </w:rPr>
              <w:t>Tasfiye tamamlanmadığı için geçici tutar</w:t>
            </w:r>
          </w:p>
        </w:tc>
      </w:tr>
      <w:tr w:rsidR="00173894">
        <w:trPr>
          <w:jc w:val="center"/>
        </w:trPr>
        <w:tc>
          <w:tcPr>
            <w:tcW w:w="3118" w:type="dxa"/>
          </w:tcPr>
          <w:p w:rsidR="00173894" w:rsidRDefault="000A4DFD">
            <w:pPr>
              <w:spacing w:after="20" w:line="252" w:lineRule="auto"/>
              <w:jc w:val="left"/>
            </w:pPr>
            <w:r>
              <w:rPr>
                <w:sz w:val="19"/>
              </w:rPr>
              <w:t>İlk hesaplamaya göre doğrudan zarar</w:t>
            </w:r>
          </w:p>
        </w:tc>
        <w:tc>
          <w:tcPr>
            <w:tcW w:w="1701" w:type="dxa"/>
          </w:tcPr>
          <w:p w:rsidR="00173894" w:rsidRDefault="000A4DFD">
            <w:pPr>
              <w:spacing w:after="20" w:line="252" w:lineRule="auto"/>
              <w:jc w:val="left"/>
            </w:pPr>
            <w:r>
              <w:rPr>
                <w:sz w:val="19"/>
              </w:rPr>
              <w:t>[●]</w:t>
            </w:r>
          </w:p>
        </w:tc>
        <w:tc>
          <w:tcPr>
            <w:tcW w:w="4422" w:type="dxa"/>
          </w:tcPr>
          <w:p w:rsidR="00173894" w:rsidRDefault="000A4DFD">
            <w:pPr>
              <w:spacing w:after="20" w:line="252" w:lineRule="auto"/>
              <w:jc w:val="left"/>
            </w:pPr>
            <w:r>
              <w:rPr>
                <w:sz w:val="19"/>
              </w:rPr>
              <w:t>Bilirkişi incelemesiyle kesinleştirilecektir</w:t>
            </w:r>
          </w:p>
        </w:tc>
      </w:tr>
      <w:tr w:rsidR="00173894">
        <w:trPr>
          <w:jc w:val="center"/>
        </w:trPr>
        <w:tc>
          <w:tcPr>
            <w:tcW w:w="3118" w:type="dxa"/>
            <w:shd w:val="clear" w:color="auto" w:fill="F4F7F7"/>
          </w:tcPr>
          <w:p w:rsidR="00173894" w:rsidRDefault="000A4DFD">
            <w:pPr>
              <w:spacing w:after="20" w:line="252" w:lineRule="auto"/>
              <w:jc w:val="left"/>
            </w:pPr>
            <w:r>
              <w:rPr>
                <w:sz w:val="19"/>
              </w:rPr>
              <w:t xml:space="preserve">Dava değeri </w:t>
            </w:r>
            <w:r>
              <w:rPr>
                <w:sz w:val="19"/>
              </w:rPr>
              <w:t>(şimdilik)</w:t>
            </w:r>
          </w:p>
        </w:tc>
        <w:tc>
          <w:tcPr>
            <w:tcW w:w="1701" w:type="dxa"/>
            <w:shd w:val="clear" w:color="auto" w:fill="F4F7F7"/>
          </w:tcPr>
          <w:p w:rsidR="00173894" w:rsidRDefault="000A4DFD">
            <w:pPr>
              <w:spacing w:after="20" w:line="252" w:lineRule="auto"/>
              <w:jc w:val="left"/>
            </w:pPr>
            <w:r>
              <w:rPr>
                <w:sz w:val="19"/>
              </w:rPr>
              <w:t>[●]</w:t>
            </w:r>
          </w:p>
        </w:tc>
        <w:tc>
          <w:tcPr>
            <w:tcW w:w="4422" w:type="dxa"/>
            <w:shd w:val="clear" w:color="auto" w:fill="F4F7F7"/>
          </w:tcPr>
          <w:p w:rsidR="00173894" w:rsidRDefault="000A4DFD">
            <w:pPr>
              <w:spacing w:after="20" w:line="252" w:lineRule="auto"/>
              <w:jc w:val="left"/>
            </w:pPr>
            <w:r>
              <w:rPr>
                <w:sz w:val="19"/>
              </w:rPr>
              <w:t>HMK m.107 uyarınca belirsiz alacak</w:t>
            </w:r>
          </w:p>
        </w:tc>
      </w:tr>
    </w:tbl>
    <w:p w:rsidR="00173894" w:rsidRDefault="00173894">
      <w:pPr>
        <w:spacing w:after="0"/>
      </w:pPr>
    </w:p>
    <w:p w:rsidR="00173894" w:rsidRDefault="000A4DFD">
      <w:pPr>
        <w:spacing w:before="80"/>
      </w:pPr>
      <w:r>
        <w:t>Zararın kesin miktarı, tasfiye sonucunda müvekkile yapılacak ödeme ile fonun gerçek değeri ve hukuka uygun yönetim hâlinde ulaşılacak değer dikkate alınarak ancak bilirkişi incelemesiyle belirlenebilecekt</w:t>
      </w:r>
      <w:r>
        <w:t>ir. Bu nedenle dava belirsiz alacak davası olarak açılmıştır. Davalıların eylem ve ihmalleri ile zarar arasındaki uygun illiyet bağı; SPK denetleme raporu, ceza soruşturması dosyası ve fon kayıtları üzerinden yapılacak bilirkişi incelemesiyle ortaya konula</w:t>
      </w:r>
      <w:r>
        <w:t>caktır.</w:t>
      </w:r>
    </w:p>
    <w:p w:rsidR="00173894" w:rsidRDefault="000A4DFD">
      <w:pPr>
        <w:keepNext/>
        <w:pBdr>
          <w:bottom w:val="single" w:sz="6" w:space="1" w:color="0C4E54"/>
        </w:pBdr>
        <w:spacing w:before="240"/>
      </w:pPr>
      <w:r>
        <w:rPr>
          <w:b/>
          <w:color w:val="0C4E54"/>
          <w:sz w:val="23"/>
        </w:rPr>
        <w:t>IV. İHTİYATİ HACİZ TALEBİ</w:t>
      </w:r>
    </w:p>
    <w:p w:rsidR="00173894" w:rsidRDefault="000A4DFD">
      <w:r>
        <w:t>İİK m.257 ve devamı uyarınca ihtiyati haciz koşulları somut olayda gerçekleşmiştir:</w:t>
      </w:r>
    </w:p>
    <w:p w:rsidR="00173894" w:rsidRDefault="000A4DFD">
      <w:pPr>
        <w:tabs>
          <w:tab w:val="left" w:pos="454"/>
        </w:tabs>
        <w:ind w:left="454" w:hanging="454"/>
      </w:pPr>
      <w:r>
        <w:rPr>
          <w:b/>
        </w:rPr>
        <w:t>1.</w:t>
      </w:r>
      <w:r>
        <w:rPr>
          <w:b/>
        </w:rPr>
        <w:tab/>
        <w:t xml:space="preserve">Para alacağı ve muacceliyet: </w:t>
      </w:r>
      <w:r>
        <w:t xml:space="preserve">Haksız fiilden doğan tazminat alacağı, zararın doğduğu anda muaccel olur. Alacak rehinle temin </w:t>
      </w:r>
      <w:r>
        <w:t>edilmemiştir.</w:t>
      </w:r>
    </w:p>
    <w:p w:rsidR="00173894" w:rsidRDefault="000A4DFD">
      <w:pPr>
        <w:tabs>
          <w:tab w:val="left" w:pos="454"/>
        </w:tabs>
        <w:ind w:left="454" w:hanging="454"/>
      </w:pPr>
      <w:r>
        <w:rPr>
          <w:b/>
        </w:rPr>
        <w:t>2.</w:t>
      </w:r>
      <w:r>
        <w:rPr>
          <w:b/>
        </w:rPr>
        <w:tab/>
        <w:t xml:space="preserve">Yaklaşık ispat: </w:t>
      </w:r>
      <w:r>
        <w:t>Müvekkilin yatırımı, iade talimatının yerine getirilmediği ve fonun tasfiyeye alındığı resmî kayıtlarla sabittir. SPK’nın suç duyurusu ve devam eden ceza soruşturması, davalıların sorumluluğuna ilişkin yaklaşık ispat ölçüsü</w:t>
      </w:r>
      <w:r>
        <w:t>nü karşılamaktadır.</w:t>
      </w:r>
    </w:p>
    <w:p w:rsidR="00173894" w:rsidRDefault="000A4DFD">
      <w:pPr>
        <w:tabs>
          <w:tab w:val="left" w:pos="454"/>
        </w:tabs>
        <w:ind w:left="454" w:hanging="454"/>
      </w:pPr>
      <w:r>
        <w:rPr>
          <w:b/>
        </w:rPr>
        <w:t>3.</w:t>
      </w:r>
      <w:r>
        <w:rPr>
          <w:b/>
        </w:rPr>
        <w:tab/>
        <w:t xml:space="preserve">Tahsilin tehlikeye düşmesi: </w:t>
      </w:r>
      <w:r>
        <w:t>Davalı şirketin faaliyetinin fiilen durması, yöneticiler hakkında ceza soruşturması yürütülmesi ve mal varlıklarının devredilme ihtimali, dava sonunda alacağın tahsilini ciddi biçimde tehlikeye düşürmekted</w:t>
      </w:r>
      <w:r>
        <w:t>ir. [Somut olgu: ●]</w:t>
      </w:r>
    </w:p>
    <w:p w:rsidR="00173894" w:rsidRDefault="000A4DFD">
      <w:r>
        <w:t>Bu nedenle davalıların menkul ve gayrimenkul malları, banka hesapları, sermaye piyasası araçları, şirket payları ve üçüncü kişilerdeki hak ve alacakları üzerine, dava değeri ve fer’ileri kadar ihtiyati haciz konulmasını talep ederiz. Ma</w:t>
      </w:r>
      <w:r>
        <w:t>hkemece takdir edilecek teminatın (İİK m.259) makul tutarda belirlenmesini; teminat yatırılamaması hâlinde adli yardım (HMK m.334) talebimizin değerlendirilmesini arz ederiz. Talebin amacına ulaşabilmesi için davalılar dinlenmeden karar verilmesi istenmekt</w:t>
      </w:r>
      <w:r>
        <w:t>edir.</w:t>
      </w:r>
    </w:p>
    <w:p w:rsidR="00173894" w:rsidRDefault="000A4DFD">
      <w:pPr>
        <w:keepNext/>
        <w:pBdr>
          <w:bottom w:val="single" w:sz="6" w:space="1" w:color="0C4E54"/>
        </w:pBdr>
        <w:spacing w:before="240"/>
      </w:pPr>
      <w:r>
        <w:rPr>
          <w:b/>
          <w:color w:val="0C4E54"/>
          <w:sz w:val="23"/>
        </w:rPr>
        <w:lastRenderedPageBreak/>
        <w:t>V. DELİLLER</w:t>
      </w:r>
    </w:p>
    <w:p w:rsidR="00173894" w:rsidRDefault="000A4DFD">
      <w:r>
        <w:t>MKK / e-Yatırımcı ve TEFAS kayıtları; banka ve aracı kurum hesap ekstreleri, alım dekontları ve iade talimatı kayıtları; fon izahnamesi, içtüzük, yatırımcı bilgi formu ve uygunluk testi kayıtları; KAP açıklamaları ve SPK kararları; SPK in</w:t>
      </w:r>
      <w:r>
        <w:t>celeme ve denetleme raporları; İstanbul Cumhuriyet Başsavcılığının [●] soruşturma numaralı dosyası; Borsa İstanbul, MKK, Takasbank ve portföy saklayıcısı kayıtları; davalıların ticari defter ve kayıtları; tasfiye yetkilisi bankanın kayıtları; bilirkişi inc</w:t>
      </w:r>
      <w:r>
        <w:t>elemesi, tanık ve her türlü yasal delil.</w:t>
      </w:r>
    </w:p>
    <w:p w:rsidR="00173894" w:rsidRDefault="000A4DFD">
      <w:pPr>
        <w:keepNext/>
        <w:pBdr>
          <w:bottom w:val="single" w:sz="6" w:space="1" w:color="0C4E54"/>
        </w:pBdr>
        <w:spacing w:before="240"/>
      </w:pPr>
      <w:r>
        <w:rPr>
          <w:b/>
          <w:color w:val="0C4E54"/>
          <w:sz w:val="23"/>
        </w:rPr>
        <w:t>VI. HUKUKİ NEDENLER</w:t>
      </w:r>
    </w:p>
    <w:p w:rsidR="00173894" w:rsidRDefault="000A4DFD">
      <w:r>
        <w:t>6098 sayılı Türk Borçlar Kanunu (m.49, 61, 62, 72, 112, 506); 6102 sayılı Türk Ticaret Kanunu (m.4, 5/A, 553); 6362 sayılı Sermaye Piyasası Kanunu (m.52, 56) ve III-52.1, III-55.1, III-56.1 sayıl</w:t>
      </w:r>
      <w:r>
        <w:t>ı Tebliğler; 6100 sayılı Hukuk Muhakemeleri Kanunu (m.107, 165, 334); 2004 sayılı İcra ve İflas Kanunu (m.257 vd.); 3095 sayılı Kanuni Faiz ve Temerrüt Faizine İlişkin Kanun ve ilgili mevzuat.</w:t>
      </w:r>
    </w:p>
    <w:p w:rsidR="00173894" w:rsidRDefault="000A4DFD">
      <w:pPr>
        <w:keepNext/>
        <w:pBdr>
          <w:bottom w:val="single" w:sz="6" w:space="1" w:color="0C4E54"/>
        </w:pBdr>
        <w:spacing w:before="240"/>
      </w:pPr>
      <w:r>
        <w:rPr>
          <w:b/>
          <w:color w:val="0C4E54"/>
          <w:sz w:val="23"/>
        </w:rPr>
        <w:t>VII. SONUÇ VE İSTEM</w:t>
      </w:r>
    </w:p>
    <w:p w:rsidR="00173894" w:rsidRDefault="000A4DFD">
      <w:pPr>
        <w:keepNext/>
      </w:pPr>
      <w:r>
        <w:t>Yukarıda açıklanan ve mahkemenizce resen di</w:t>
      </w:r>
      <w:r>
        <w:t>kkate alınacak nedenlerle;</w:t>
      </w:r>
    </w:p>
    <w:p w:rsidR="00173894" w:rsidRDefault="000A4DFD">
      <w:pPr>
        <w:tabs>
          <w:tab w:val="left" w:pos="454"/>
        </w:tabs>
        <w:ind w:left="454" w:hanging="454"/>
      </w:pPr>
      <w:r>
        <w:rPr>
          <w:b/>
        </w:rPr>
        <w:t>1.</w:t>
      </w:r>
      <w:r>
        <w:rPr>
          <w:b/>
        </w:rPr>
        <w:tab/>
      </w:r>
      <w:r>
        <w:t>Davalıların mal varlığı üzerine İİK m.257 uyarınca, davalılar dinlenmeksizin ve uygun teminat karşılığında ihtiyati haciz kararı verilmesine,</w:t>
      </w:r>
    </w:p>
    <w:p w:rsidR="00173894" w:rsidRDefault="000A4DFD">
      <w:pPr>
        <w:tabs>
          <w:tab w:val="left" w:pos="454"/>
        </w:tabs>
        <w:ind w:left="454" w:hanging="454"/>
      </w:pPr>
      <w:r>
        <w:rPr>
          <w:b/>
        </w:rPr>
        <w:t>2.</w:t>
      </w:r>
      <w:r>
        <w:rPr>
          <w:b/>
        </w:rPr>
        <w:tab/>
      </w:r>
      <w:r>
        <w:t>İstanbul Cumhuriyet Başsavcılığının [●] soruşturma numaralı dosyası ile SPK incel</w:t>
      </w:r>
      <w:r>
        <w:t>eme ve denetleme raporlarının celbine; gerektiğinde ceza dosyasının bekletici mesele yapılmasına (HMK m.165),</w:t>
      </w:r>
    </w:p>
    <w:p w:rsidR="00173894" w:rsidRDefault="000A4DFD">
      <w:pPr>
        <w:tabs>
          <w:tab w:val="left" w:pos="454"/>
        </w:tabs>
        <w:ind w:left="454" w:hanging="454"/>
      </w:pPr>
      <w:r>
        <w:rPr>
          <w:b/>
        </w:rPr>
        <w:t>3.</w:t>
      </w:r>
      <w:r>
        <w:rPr>
          <w:b/>
        </w:rPr>
        <w:tab/>
      </w:r>
      <w:r>
        <w:t>Fon, kurucu, portföy saklayıcısı ve tasfiye yetkilisi kayıtlarının celbine ve bilirkişi incelemesi yapılmasına,</w:t>
      </w:r>
    </w:p>
    <w:p w:rsidR="00173894" w:rsidRDefault="000A4DFD">
      <w:pPr>
        <w:tabs>
          <w:tab w:val="left" w:pos="454"/>
        </w:tabs>
        <w:ind w:left="454" w:hanging="454"/>
      </w:pPr>
      <w:r>
        <w:rPr>
          <w:b/>
        </w:rPr>
        <w:t>4.</w:t>
      </w:r>
      <w:r>
        <w:rPr>
          <w:b/>
        </w:rPr>
        <w:tab/>
      </w:r>
      <w:r>
        <w:t xml:space="preserve">Davanın kabulü ile fazlaya </w:t>
      </w:r>
      <w:r>
        <w:t>ilişkin haklarımız saklı kalmak kaydıyla, belirsiz alacak olarak şimdilik [●] TL’nin zarar tarihinden itibaren işleyecek avans faiziyle birlikte davalılardan müteselsilen tahsiline,</w:t>
      </w:r>
    </w:p>
    <w:p w:rsidR="00173894" w:rsidRDefault="000A4DFD">
      <w:pPr>
        <w:tabs>
          <w:tab w:val="left" w:pos="454"/>
        </w:tabs>
        <w:ind w:left="454" w:hanging="454"/>
      </w:pPr>
      <w:r>
        <w:rPr>
          <w:b/>
        </w:rPr>
        <w:t>5.</w:t>
      </w:r>
      <w:r>
        <w:rPr>
          <w:b/>
        </w:rPr>
        <w:tab/>
      </w:r>
      <w:r>
        <w:t>Yargılama giderleri ile vekâlet ücretinin davalılara yükletilmesine</w:t>
      </w:r>
    </w:p>
    <w:p w:rsidR="00173894" w:rsidRDefault="000A4DFD">
      <w:pPr>
        <w:spacing w:after="80"/>
      </w:pPr>
      <w:r>
        <w:t>kar</w:t>
      </w:r>
      <w:r>
        <w:t>ar verilmesini saygılarımızla vekâleten arz ve talep ederiz.</w:t>
      </w:r>
    </w:p>
    <w:p w:rsidR="00173894" w:rsidRDefault="000A4DFD">
      <w:pPr>
        <w:keepNext/>
        <w:spacing w:before="80" w:after="0"/>
        <w:jc w:val="right"/>
      </w:pPr>
      <w:r>
        <w:t>[Tarih]</w:t>
      </w:r>
    </w:p>
    <w:p w:rsidR="00173894" w:rsidRDefault="000A4DFD">
      <w:pPr>
        <w:keepNext/>
        <w:spacing w:after="0"/>
        <w:jc w:val="right"/>
      </w:pPr>
      <w:r>
        <w:t>Davacı Vekili</w:t>
      </w:r>
    </w:p>
    <w:p w:rsidR="00173894" w:rsidRDefault="000A4DFD">
      <w:pPr>
        <w:keepNext/>
        <w:spacing w:after="0"/>
        <w:jc w:val="right"/>
      </w:pPr>
      <w:r>
        <w:rPr>
          <w:b/>
        </w:rPr>
        <w:t xml:space="preserve">Av. </w:t>
      </w:r>
      <w:r w:rsidR="00703A36">
        <w:rPr>
          <w:b/>
        </w:rPr>
        <w:t>…………………</w:t>
      </w:r>
    </w:p>
    <w:p w:rsidR="00173894" w:rsidRDefault="000A4DFD">
      <w:pPr>
        <w:jc w:val="right"/>
      </w:pPr>
      <w:r>
        <w:rPr>
          <w:color w:val="5A5957"/>
        </w:rPr>
        <w:t>[İmza]</w:t>
      </w:r>
    </w:p>
    <w:p w:rsidR="00173894" w:rsidRDefault="000A4DFD">
      <w:pPr>
        <w:keepNext/>
        <w:spacing w:after="40"/>
      </w:pPr>
      <w:r>
        <w:rPr>
          <w:b/>
        </w:rPr>
        <w:t>Ekler:</w:t>
      </w:r>
    </w:p>
    <w:p w:rsidR="00173894" w:rsidRDefault="000A4DFD">
      <w:pPr>
        <w:spacing w:after="0"/>
        <w:jc w:val="left"/>
      </w:pPr>
      <w:r>
        <w:rPr>
          <w:sz w:val="19"/>
        </w:rPr>
        <w:t>Ek-1: Vekâletname</w:t>
      </w:r>
    </w:p>
    <w:p w:rsidR="00173894" w:rsidRDefault="000A4DFD">
      <w:pPr>
        <w:spacing w:after="0"/>
        <w:jc w:val="left"/>
      </w:pPr>
      <w:r>
        <w:rPr>
          <w:sz w:val="19"/>
        </w:rPr>
        <w:t>Ek-2: Arabuluculuk son tutanağı</w:t>
      </w:r>
    </w:p>
    <w:p w:rsidR="00173894" w:rsidRDefault="000A4DFD">
      <w:pPr>
        <w:spacing w:after="0"/>
        <w:jc w:val="left"/>
      </w:pPr>
      <w:r>
        <w:rPr>
          <w:sz w:val="19"/>
        </w:rPr>
        <w:t>Ek-3: MKK kaydı, hesap ekstreleri ve alım dekontları</w:t>
      </w:r>
    </w:p>
    <w:p w:rsidR="00173894" w:rsidRDefault="000A4DFD">
      <w:pPr>
        <w:spacing w:after="0"/>
        <w:jc w:val="left"/>
      </w:pPr>
      <w:r>
        <w:rPr>
          <w:sz w:val="19"/>
        </w:rPr>
        <w:t xml:space="preserve">Ek-4: İade talimatı kaydı ve tasfiye </w:t>
      </w:r>
      <w:r>
        <w:rPr>
          <w:sz w:val="19"/>
        </w:rPr>
        <w:t>yetkilisi yazıları</w:t>
      </w:r>
    </w:p>
    <w:p w:rsidR="00173894" w:rsidRDefault="000A4DFD">
      <w:pPr>
        <w:spacing w:after="0"/>
        <w:jc w:val="left"/>
      </w:pPr>
      <w:r>
        <w:rPr>
          <w:sz w:val="19"/>
        </w:rPr>
        <w:t>Ek-5: Fon izahnamesi, içtüzük ve yatırımcı bilgi formu</w:t>
      </w:r>
    </w:p>
    <w:p w:rsidR="00173894" w:rsidRDefault="000A4DFD">
      <w:pPr>
        <w:spacing w:after="0"/>
        <w:jc w:val="left"/>
      </w:pPr>
      <w:r>
        <w:rPr>
          <w:sz w:val="19"/>
        </w:rPr>
        <w:t>Ek-6: SPK kararları ve Bülten çıktıları</w:t>
      </w:r>
    </w:p>
    <w:p w:rsidR="00173894" w:rsidRDefault="000A4DFD">
      <w:pPr>
        <w:spacing w:after="0"/>
        <w:jc w:val="left"/>
      </w:pPr>
      <w:r>
        <w:rPr>
          <w:sz w:val="19"/>
        </w:rPr>
        <w:t>Ek-7: İhtarname ve tebliğ şerhi</w:t>
      </w:r>
    </w:p>
    <w:p w:rsidR="00173894" w:rsidRDefault="000A4DFD">
      <w:pPr>
        <w:spacing w:after="0"/>
        <w:jc w:val="left"/>
      </w:pPr>
      <w:r>
        <w:rPr>
          <w:sz w:val="19"/>
        </w:rPr>
        <w:t>Ek-8: Zarar hesaplama tablosu</w:t>
      </w:r>
      <w:r>
        <w:br w:type="page"/>
      </w:r>
    </w:p>
    <w:p w:rsidR="00173894" w:rsidRDefault="00703A36">
      <w:pPr>
        <w:keepNext/>
        <w:spacing w:after="60"/>
      </w:pPr>
      <w:r>
        <w:rPr>
          <w:b/>
          <w:color w:val="0C4E54"/>
        </w:rPr>
        <w:lastRenderedPageBreak/>
        <w:t>1</w:t>
      </w:r>
      <w:r w:rsidR="000A4DFD">
        <w:rPr>
          <w:b/>
          <w:color w:val="0C4E54"/>
        </w:rPr>
        <w:t>. Dikkat edilecekler</w:t>
      </w:r>
    </w:p>
    <w:tbl>
      <w:tblPr>
        <w:tblStyle w:val="TabloKlavuzu"/>
        <w:tblW w:w="0" w:type="auto"/>
        <w:jc w:val="center"/>
        <w:tblLayout w:type="fixed"/>
        <w:tblLook w:val="04A0" w:firstRow="1" w:lastRow="0" w:firstColumn="1" w:lastColumn="0" w:noHBand="0" w:noVBand="1"/>
      </w:tblPr>
      <w:tblGrid>
        <w:gridCol w:w="2154"/>
        <w:gridCol w:w="7087"/>
      </w:tblGrid>
      <w:tr w:rsidR="00173894">
        <w:trPr>
          <w:jc w:val="center"/>
        </w:trPr>
        <w:tc>
          <w:tcPr>
            <w:tcW w:w="2154" w:type="dxa"/>
            <w:shd w:val="clear" w:color="auto" w:fill="0C4E54"/>
          </w:tcPr>
          <w:p w:rsidR="00173894" w:rsidRDefault="000A4DFD">
            <w:r>
              <w:rPr>
                <w:b/>
                <w:color w:val="FFFFFF"/>
                <w:sz w:val="19"/>
              </w:rPr>
              <w:t>Konu</w:t>
            </w:r>
          </w:p>
        </w:tc>
        <w:tc>
          <w:tcPr>
            <w:tcW w:w="7087" w:type="dxa"/>
            <w:shd w:val="clear" w:color="auto" w:fill="0C4E54"/>
          </w:tcPr>
          <w:p w:rsidR="00173894" w:rsidRDefault="000A4DFD">
            <w:r>
              <w:rPr>
                <w:b/>
                <w:color w:val="FFFFFF"/>
                <w:sz w:val="19"/>
              </w:rPr>
              <w:t>Açıklama</w:t>
            </w:r>
          </w:p>
        </w:tc>
      </w:tr>
      <w:tr w:rsidR="00173894">
        <w:trPr>
          <w:jc w:val="center"/>
        </w:trPr>
        <w:tc>
          <w:tcPr>
            <w:tcW w:w="2154" w:type="dxa"/>
          </w:tcPr>
          <w:p w:rsidR="00173894" w:rsidRDefault="000A4DFD">
            <w:pPr>
              <w:spacing w:after="20" w:line="252" w:lineRule="auto"/>
              <w:jc w:val="left"/>
            </w:pPr>
            <w:r>
              <w:rPr>
                <w:sz w:val="19"/>
              </w:rPr>
              <w:t>İhtiyati haciz teminatı</w:t>
            </w:r>
          </w:p>
        </w:tc>
        <w:tc>
          <w:tcPr>
            <w:tcW w:w="7087" w:type="dxa"/>
          </w:tcPr>
          <w:p w:rsidR="00173894" w:rsidRDefault="000A4DFD">
            <w:pPr>
              <w:spacing w:after="20" w:line="252" w:lineRule="auto"/>
              <w:jc w:val="left"/>
            </w:pPr>
            <w:r>
              <w:rPr>
                <w:sz w:val="19"/>
              </w:rPr>
              <w:t xml:space="preserve">Uygulamada teminat çoğunlukla alacağın %15’i </w:t>
            </w:r>
            <w:r>
              <w:rPr>
                <w:sz w:val="19"/>
              </w:rPr>
              <w:t>civarında belirlenir; teminat mektubu da kabul edilebilir. Karar, verildiği tarihten itibaren 10 gün içinde icra dairesinden uygulanmalıdır (İİK m.261).</w:t>
            </w:r>
          </w:p>
        </w:tc>
      </w:tr>
      <w:tr w:rsidR="00173894">
        <w:trPr>
          <w:jc w:val="center"/>
        </w:trPr>
        <w:tc>
          <w:tcPr>
            <w:tcW w:w="2154" w:type="dxa"/>
            <w:shd w:val="clear" w:color="auto" w:fill="F4F7F7"/>
          </w:tcPr>
          <w:p w:rsidR="00173894" w:rsidRDefault="000A4DFD">
            <w:pPr>
              <w:spacing w:after="20" w:line="252" w:lineRule="auto"/>
              <w:jc w:val="left"/>
            </w:pPr>
            <w:r>
              <w:rPr>
                <w:sz w:val="19"/>
              </w:rPr>
              <w:t>Ceza dosyasındaki el koyma</w:t>
            </w:r>
          </w:p>
        </w:tc>
        <w:tc>
          <w:tcPr>
            <w:tcW w:w="7087" w:type="dxa"/>
            <w:shd w:val="clear" w:color="auto" w:fill="F4F7F7"/>
          </w:tcPr>
          <w:p w:rsidR="00173894" w:rsidRDefault="000A4DFD">
            <w:pPr>
              <w:spacing w:after="20" w:line="252" w:lineRule="auto"/>
              <w:jc w:val="left"/>
            </w:pPr>
            <w:r>
              <w:rPr>
                <w:sz w:val="19"/>
              </w:rPr>
              <w:t>Ceza soruşturmasında şüphelilerin malvarlığına CMK m.128 uyarınca el konulm</w:t>
            </w:r>
            <w:r>
              <w:rPr>
                <w:sz w:val="19"/>
              </w:rPr>
              <w:t>uş olabilir. İhtiyati haciz, bu el koyma kaldırıldığında sıraya girebilmek için yine de önemlidir.</w:t>
            </w:r>
          </w:p>
        </w:tc>
      </w:tr>
      <w:tr w:rsidR="00173894">
        <w:trPr>
          <w:jc w:val="center"/>
        </w:trPr>
        <w:tc>
          <w:tcPr>
            <w:tcW w:w="2154" w:type="dxa"/>
          </w:tcPr>
          <w:p w:rsidR="00173894" w:rsidRDefault="000A4DFD">
            <w:pPr>
              <w:spacing w:after="20" w:line="252" w:lineRule="auto"/>
              <w:jc w:val="left"/>
            </w:pPr>
            <w:r>
              <w:rPr>
                <w:sz w:val="19"/>
              </w:rPr>
              <w:t>Davalı seçimi</w:t>
            </w:r>
          </w:p>
        </w:tc>
        <w:tc>
          <w:tcPr>
            <w:tcW w:w="7087" w:type="dxa"/>
          </w:tcPr>
          <w:p w:rsidR="00173894" w:rsidRDefault="000A4DFD">
            <w:pPr>
              <w:spacing w:after="20" w:line="252" w:lineRule="auto"/>
              <w:jc w:val="left"/>
            </w:pPr>
            <w:r>
              <w:rPr>
                <w:sz w:val="19"/>
              </w:rPr>
              <w:t>Saklayıcı ve dağıtıcı kuruluş yalnızca somut ihlal delili varsa davaya dahil edilmelidir; aksi hâlde bu davalılar yönünden vekâlet ücreti ve y</w:t>
            </w:r>
            <w:r>
              <w:rPr>
                <w:sz w:val="19"/>
              </w:rPr>
              <w:t>argılama gideri riski doğar.</w:t>
            </w:r>
          </w:p>
        </w:tc>
      </w:tr>
      <w:tr w:rsidR="00173894">
        <w:trPr>
          <w:jc w:val="center"/>
        </w:trPr>
        <w:tc>
          <w:tcPr>
            <w:tcW w:w="2154" w:type="dxa"/>
            <w:shd w:val="clear" w:color="auto" w:fill="F4F7F7"/>
          </w:tcPr>
          <w:p w:rsidR="00173894" w:rsidRDefault="000A4DFD">
            <w:pPr>
              <w:spacing w:after="20" w:line="252" w:lineRule="auto"/>
              <w:jc w:val="left"/>
            </w:pPr>
            <w:r>
              <w:rPr>
                <w:sz w:val="19"/>
              </w:rPr>
              <w:t>YTM</w:t>
            </w:r>
          </w:p>
        </w:tc>
        <w:tc>
          <w:tcPr>
            <w:tcW w:w="7087" w:type="dxa"/>
            <w:shd w:val="clear" w:color="auto" w:fill="F4F7F7"/>
          </w:tcPr>
          <w:p w:rsidR="00173894" w:rsidRDefault="000A4DFD">
            <w:pPr>
              <w:spacing w:after="20" w:line="252" w:lineRule="auto"/>
              <w:jc w:val="left"/>
            </w:pPr>
            <w:r>
              <w:rPr>
                <w:sz w:val="19"/>
              </w:rPr>
              <w:t>Yatırımcı Tazmin Merkezi, fiyat hareketlerinden doğan zararları karşılamaz; bu dava, zararın tahsili için temel yoldur.</w:t>
            </w:r>
          </w:p>
        </w:tc>
      </w:tr>
      <w:tr w:rsidR="00173894">
        <w:trPr>
          <w:jc w:val="center"/>
        </w:trPr>
        <w:tc>
          <w:tcPr>
            <w:tcW w:w="2154" w:type="dxa"/>
          </w:tcPr>
          <w:p w:rsidR="00173894" w:rsidRDefault="000A4DFD">
            <w:pPr>
              <w:spacing w:after="20" w:line="252" w:lineRule="auto"/>
              <w:jc w:val="left"/>
            </w:pPr>
            <w:r>
              <w:rPr>
                <w:sz w:val="19"/>
              </w:rPr>
              <w:t>Harç</w:t>
            </w:r>
          </w:p>
        </w:tc>
        <w:tc>
          <w:tcPr>
            <w:tcW w:w="7087" w:type="dxa"/>
          </w:tcPr>
          <w:p w:rsidR="00173894" w:rsidRDefault="000A4DFD">
            <w:pPr>
              <w:spacing w:after="20" w:line="252" w:lineRule="auto"/>
              <w:jc w:val="left"/>
            </w:pPr>
            <w:r>
              <w:rPr>
                <w:sz w:val="19"/>
              </w:rPr>
              <w:t xml:space="preserve">Peşin nispi harç şimdilik gösterilen dava değeri üzerinden alınır; alacak artırıldığında </w:t>
            </w:r>
            <w:r>
              <w:rPr>
                <w:sz w:val="19"/>
              </w:rPr>
              <w:t>tamamlanır. İhtiyati haciz için ayrıca maktu harç yatırılır.</w:t>
            </w:r>
          </w:p>
        </w:tc>
      </w:tr>
    </w:tbl>
    <w:p w:rsidR="00173894" w:rsidRDefault="00173894">
      <w:pPr>
        <w:spacing w:after="0"/>
      </w:pPr>
    </w:p>
    <w:p w:rsidR="00173894" w:rsidRDefault="00173894" w:rsidP="00703A36">
      <w:pPr>
        <w:pStyle w:val="ListeMaddemi"/>
        <w:numPr>
          <w:ilvl w:val="0"/>
          <w:numId w:val="0"/>
        </w:numPr>
        <w:spacing w:after="20"/>
        <w:ind w:left="360"/>
        <w:jc w:val="left"/>
      </w:pPr>
      <w:bookmarkStart w:id="0" w:name="_GoBack"/>
      <w:bookmarkEnd w:id="0"/>
    </w:p>
    <w:sectPr w:rsidR="00173894" w:rsidSect="00034616">
      <w:footerReference w:type="default" r:id="rId9"/>
      <w:pgSz w:w="11906" w:h="16838"/>
      <w:pgMar w:top="1247" w:right="1247"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DFD" w:rsidRDefault="000A4DFD">
      <w:pPr>
        <w:spacing w:after="0" w:line="240" w:lineRule="auto"/>
      </w:pPr>
      <w:r>
        <w:separator/>
      </w:r>
    </w:p>
  </w:endnote>
  <w:endnote w:type="continuationSeparator" w:id="0">
    <w:p w:rsidR="000A4DFD" w:rsidRDefault="000A4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894" w:rsidRDefault="000A4DFD">
    <w:pPr>
      <w:pStyle w:val="Altbilgi"/>
      <w:jc w:val="center"/>
    </w:pPr>
    <w:r>
      <w:rPr>
        <w:color w:val="5A5957"/>
        <w:sz w:val="16"/>
      </w:rPr>
      <w:t xml:space="preserve">Fon Zararı Tazminat Davası ve İhtiyati Haciz Talebi  |  Hazırlayan: Av. Şahin Baran  |  Sayfa </w:t>
    </w:r>
    <w:r>
      <w:fldChar w:fldCharType="begin"/>
    </w:r>
    <w:r>
      <w:instrText>PAGE</w:instrText>
    </w:r>
    <w:r>
      <w:fldChar w:fldCharType="separate"/>
    </w:r>
    <w:r w:rsidR="00703A36">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DFD" w:rsidRDefault="000A4DFD">
      <w:pPr>
        <w:spacing w:after="0" w:line="240" w:lineRule="auto"/>
      </w:pPr>
      <w:r>
        <w:separator/>
      </w:r>
    </w:p>
  </w:footnote>
  <w:footnote w:type="continuationSeparator" w:id="0">
    <w:p w:rsidR="000A4DFD" w:rsidRDefault="000A4D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A4DFD"/>
    <w:rsid w:val="0015074B"/>
    <w:rsid w:val="00173894"/>
    <w:rsid w:val="0029639D"/>
    <w:rsid w:val="00326F90"/>
    <w:rsid w:val="00703A3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jc w:val="both"/>
    </w:pPr>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jc w:val="both"/>
    </w:pPr>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EB70F-D6D8-41F2-A804-DF115473C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1800</Words>
  <Characters>10263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Macbook</cp:lastModifiedBy>
  <cp:revision>2</cp:revision>
  <dcterms:created xsi:type="dcterms:W3CDTF">2013-12-23T23:15:00Z</dcterms:created>
  <dcterms:modified xsi:type="dcterms:W3CDTF">2026-09-23T13:38:00Z</dcterms:modified>
  <cp:category/>
</cp:coreProperties>
</file>