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20F4" w:rsidRDefault="008B410B">
      <w:pPr>
        <w:spacing w:after="0"/>
        <w:jc w:val="center"/>
      </w:pPr>
      <w:r>
        <w:rPr>
          <w:b/>
          <w:color w:val="0C4E54"/>
          <w:sz w:val="36"/>
        </w:rPr>
        <w:t>İHTARNAME</w:t>
      </w:r>
    </w:p>
    <w:p w:rsidR="000F20F4" w:rsidRDefault="000F20F4">
      <w:pPr>
        <w:spacing w:after="200"/>
        <w:jc w:val="center"/>
      </w:pPr>
    </w:p>
    <w:tbl>
      <w:tblPr>
        <w:tblStyle w:val="TabloKlavuzu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38"/>
        <w:gridCol w:w="6803"/>
      </w:tblGrid>
      <w:tr w:rsidR="000F20F4">
        <w:trPr>
          <w:jc w:val="center"/>
        </w:trPr>
        <w:tc>
          <w:tcPr>
            <w:tcW w:w="2438" w:type="dxa"/>
            <w:shd w:val="clear" w:color="auto" w:fill="EEF3F3"/>
          </w:tcPr>
          <w:p w:rsidR="000F20F4" w:rsidRDefault="008B410B">
            <w:pPr>
              <w:spacing w:after="20" w:line="252" w:lineRule="auto"/>
              <w:jc w:val="left"/>
            </w:pPr>
            <w:r>
              <w:rPr>
                <w:b/>
                <w:color w:val="0C4E54"/>
                <w:sz w:val="20"/>
              </w:rPr>
              <w:t>İHTAR EDEN</w:t>
            </w:r>
            <w:r>
              <w:rPr>
                <w:b/>
                <w:color w:val="0C4E54"/>
                <w:sz w:val="20"/>
              </w:rPr>
              <w:br/>
              <w:t>(Yatırımcı)</w:t>
            </w:r>
          </w:p>
        </w:tc>
        <w:tc>
          <w:tcPr>
            <w:tcW w:w="6803" w:type="dxa"/>
          </w:tcPr>
          <w:p w:rsidR="000F20F4" w:rsidRDefault="008B410B">
            <w:pPr>
              <w:spacing w:after="20" w:line="252" w:lineRule="auto"/>
              <w:jc w:val="left"/>
            </w:pPr>
            <w:r>
              <w:rPr>
                <w:sz w:val="20"/>
              </w:rPr>
              <w:t>Adı Soyadı / Unvanı: [●]</w:t>
            </w:r>
            <w:r>
              <w:rPr>
                <w:sz w:val="20"/>
              </w:rPr>
              <w:br/>
              <w:t>T.C. Kimlik No: [●]</w:t>
            </w:r>
            <w:r>
              <w:rPr>
                <w:sz w:val="20"/>
              </w:rPr>
              <w:br/>
              <w:t>Adres: [●]</w:t>
            </w:r>
            <w:r>
              <w:rPr>
                <w:sz w:val="20"/>
              </w:rPr>
              <w:br/>
              <w:t>Telefon / E-posta: [●]</w:t>
            </w:r>
          </w:p>
        </w:tc>
      </w:tr>
      <w:tr w:rsidR="000F20F4">
        <w:trPr>
          <w:jc w:val="center"/>
        </w:trPr>
        <w:tc>
          <w:tcPr>
            <w:tcW w:w="2438" w:type="dxa"/>
            <w:shd w:val="clear" w:color="auto" w:fill="EEF3F3"/>
          </w:tcPr>
          <w:p w:rsidR="000F20F4" w:rsidRDefault="008B410B">
            <w:pPr>
              <w:spacing w:after="20" w:line="252" w:lineRule="auto"/>
              <w:jc w:val="left"/>
            </w:pPr>
            <w:r>
              <w:rPr>
                <w:b/>
                <w:color w:val="0C4E54"/>
                <w:sz w:val="20"/>
              </w:rPr>
              <w:t>VEKİLİ (varsa)</w:t>
            </w:r>
          </w:p>
        </w:tc>
        <w:tc>
          <w:tcPr>
            <w:tcW w:w="6803" w:type="dxa"/>
          </w:tcPr>
          <w:p w:rsidR="000F20F4" w:rsidRDefault="008B410B">
            <w:pPr>
              <w:spacing w:after="20" w:line="252" w:lineRule="auto"/>
              <w:jc w:val="left"/>
            </w:pPr>
            <w:r>
              <w:rPr>
                <w:sz w:val="20"/>
              </w:rPr>
              <w:t>Av. [●] — [●] Barosu, Sicil No: [●]</w:t>
            </w:r>
            <w:r>
              <w:rPr>
                <w:sz w:val="20"/>
              </w:rPr>
              <w:br/>
              <w:t>Adres: [●]  |  KEP: [●]</w:t>
            </w:r>
          </w:p>
        </w:tc>
      </w:tr>
      <w:tr w:rsidR="000F20F4">
        <w:trPr>
          <w:jc w:val="center"/>
        </w:trPr>
        <w:tc>
          <w:tcPr>
            <w:tcW w:w="2438" w:type="dxa"/>
            <w:shd w:val="clear" w:color="auto" w:fill="EEF3F3"/>
          </w:tcPr>
          <w:p w:rsidR="000F20F4" w:rsidRDefault="008B410B">
            <w:pPr>
              <w:spacing w:after="20" w:line="252" w:lineRule="auto"/>
              <w:jc w:val="left"/>
            </w:pPr>
            <w:r>
              <w:rPr>
                <w:b/>
                <w:color w:val="0C4E54"/>
                <w:sz w:val="20"/>
              </w:rPr>
              <w:t>MUHATAP 1</w:t>
            </w:r>
            <w:r>
              <w:rPr>
                <w:b/>
                <w:color w:val="0C4E54"/>
                <w:sz w:val="20"/>
              </w:rPr>
              <w:br/>
              <w:t>(Kurucu PYŞ)</w:t>
            </w:r>
          </w:p>
        </w:tc>
        <w:tc>
          <w:tcPr>
            <w:tcW w:w="6803" w:type="dxa"/>
          </w:tcPr>
          <w:p w:rsidR="000F20F4" w:rsidRDefault="008B410B">
            <w:pPr>
              <w:spacing w:after="20" w:line="252" w:lineRule="auto"/>
              <w:jc w:val="left"/>
            </w:pPr>
            <w:r>
              <w:rPr>
                <w:sz w:val="20"/>
              </w:rPr>
              <w:t>[●] Portföy Yönetimi A.Ş.</w:t>
            </w:r>
            <w:r>
              <w:rPr>
                <w:sz w:val="20"/>
              </w:rPr>
              <w:br/>
              <w:t>Adres: [ticaret sicilinde kayıtlı merkez adresi]</w:t>
            </w:r>
            <w:r>
              <w:rPr>
                <w:sz w:val="20"/>
              </w:rPr>
              <w:br/>
              <w:t>MERSİS No: [●]</w:t>
            </w:r>
          </w:p>
        </w:tc>
      </w:tr>
      <w:tr w:rsidR="000F20F4">
        <w:trPr>
          <w:jc w:val="center"/>
        </w:trPr>
        <w:tc>
          <w:tcPr>
            <w:tcW w:w="2438" w:type="dxa"/>
            <w:shd w:val="clear" w:color="auto" w:fill="EEF3F3"/>
          </w:tcPr>
          <w:p w:rsidR="000F20F4" w:rsidRDefault="008B410B">
            <w:pPr>
              <w:spacing w:after="20" w:line="252" w:lineRule="auto"/>
              <w:jc w:val="left"/>
            </w:pPr>
            <w:r>
              <w:rPr>
                <w:b/>
                <w:color w:val="0C4E54"/>
                <w:sz w:val="20"/>
              </w:rPr>
              <w:t>MUHATAP 2</w:t>
            </w:r>
            <w:r>
              <w:rPr>
                <w:b/>
                <w:color w:val="0C4E54"/>
                <w:sz w:val="20"/>
              </w:rPr>
              <w:br/>
              <w:t>(Dağıtıcı kuruluş)</w:t>
            </w:r>
          </w:p>
        </w:tc>
        <w:tc>
          <w:tcPr>
            <w:tcW w:w="6803" w:type="dxa"/>
          </w:tcPr>
          <w:p w:rsidR="000F20F4" w:rsidRDefault="008B410B">
            <w:pPr>
              <w:spacing w:after="20" w:line="252" w:lineRule="auto"/>
              <w:jc w:val="left"/>
            </w:pPr>
            <w:r>
              <w:rPr>
                <w:sz w:val="20"/>
              </w:rPr>
              <w:t>[●] Yatırım Menkul Değerler A.Ş. / [●] Bankası A.Ş.</w:t>
            </w:r>
            <w:r>
              <w:rPr>
                <w:sz w:val="20"/>
              </w:rPr>
              <w:br/>
              <w:t>Adres: [genel müdürlük adresi]</w:t>
            </w:r>
            <w:r>
              <w:rPr>
                <w:sz w:val="20"/>
              </w:rPr>
              <w:br/>
              <w:t>MERSİS No: [●]</w:t>
            </w:r>
          </w:p>
        </w:tc>
      </w:tr>
      <w:tr w:rsidR="000F20F4">
        <w:trPr>
          <w:jc w:val="center"/>
        </w:trPr>
        <w:tc>
          <w:tcPr>
            <w:tcW w:w="2438" w:type="dxa"/>
            <w:shd w:val="clear" w:color="auto" w:fill="EEF3F3"/>
          </w:tcPr>
          <w:p w:rsidR="000F20F4" w:rsidRDefault="008B410B">
            <w:pPr>
              <w:spacing w:after="20" w:line="252" w:lineRule="auto"/>
              <w:jc w:val="left"/>
            </w:pPr>
            <w:r>
              <w:rPr>
                <w:b/>
                <w:color w:val="0C4E54"/>
                <w:sz w:val="20"/>
              </w:rPr>
              <w:t>MUHATAP 3</w:t>
            </w:r>
            <w:r>
              <w:rPr>
                <w:b/>
                <w:color w:val="0C4E54"/>
                <w:sz w:val="20"/>
              </w:rPr>
              <w:br/>
              <w:t>(Por</w:t>
            </w:r>
            <w:r>
              <w:rPr>
                <w:b/>
                <w:color w:val="0C4E54"/>
                <w:sz w:val="20"/>
              </w:rPr>
              <w:t>tföy saklayıcısı — isteğe bağlı)</w:t>
            </w:r>
          </w:p>
        </w:tc>
        <w:tc>
          <w:tcPr>
            <w:tcW w:w="6803" w:type="dxa"/>
          </w:tcPr>
          <w:p w:rsidR="000F20F4" w:rsidRDefault="008B410B">
            <w:pPr>
              <w:spacing w:after="20" w:line="252" w:lineRule="auto"/>
              <w:jc w:val="left"/>
            </w:pPr>
            <w:r>
              <w:rPr>
                <w:sz w:val="20"/>
              </w:rPr>
              <w:t>[Türkiye İş Bankası A.Ş. / T.C. Ziraat Bankası A.Ş.]</w:t>
            </w:r>
            <w:r>
              <w:rPr>
                <w:sz w:val="20"/>
              </w:rPr>
              <w:br/>
              <w:t>Adres: [genel müdürlük adresi]</w:t>
            </w:r>
          </w:p>
        </w:tc>
      </w:tr>
      <w:tr w:rsidR="000F20F4">
        <w:trPr>
          <w:jc w:val="center"/>
        </w:trPr>
        <w:tc>
          <w:tcPr>
            <w:tcW w:w="2438" w:type="dxa"/>
            <w:shd w:val="clear" w:color="auto" w:fill="EEF3F3"/>
          </w:tcPr>
          <w:p w:rsidR="000F20F4" w:rsidRDefault="008B410B">
            <w:pPr>
              <w:spacing w:after="20" w:line="252" w:lineRule="auto"/>
              <w:jc w:val="left"/>
            </w:pPr>
            <w:r>
              <w:rPr>
                <w:b/>
                <w:color w:val="0C4E54"/>
                <w:sz w:val="20"/>
              </w:rPr>
              <w:t>İLGİLİ FON</w:t>
            </w:r>
          </w:p>
        </w:tc>
        <w:tc>
          <w:tcPr>
            <w:tcW w:w="6803" w:type="dxa"/>
          </w:tcPr>
          <w:p w:rsidR="000F20F4" w:rsidRDefault="008B410B">
            <w:pPr>
              <w:spacing w:after="20" w:line="252" w:lineRule="auto"/>
              <w:jc w:val="left"/>
            </w:pPr>
            <w:r>
              <w:rPr>
                <w:sz w:val="20"/>
              </w:rPr>
              <w:t>Fonun tam adı: [●]</w:t>
            </w:r>
            <w:r>
              <w:rPr>
                <w:sz w:val="20"/>
              </w:rPr>
              <w:br/>
              <w:t>TEFAS kodu: [●]</w:t>
            </w:r>
            <w:r>
              <w:rPr>
                <w:sz w:val="20"/>
              </w:rPr>
              <w:br/>
              <w:t>Yatırım hesap no: [●]</w:t>
            </w:r>
          </w:p>
        </w:tc>
      </w:tr>
      <w:tr w:rsidR="000F20F4">
        <w:trPr>
          <w:jc w:val="center"/>
        </w:trPr>
        <w:tc>
          <w:tcPr>
            <w:tcW w:w="2438" w:type="dxa"/>
            <w:shd w:val="clear" w:color="auto" w:fill="EEF3F3"/>
          </w:tcPr>
          <w:p w:rsidR="000F20F4" w:rsidRDefault="008B410B">
            <w:pPr>
              <w:spacing w:after="20" w:line="252" w:lineRule="auto"/>
              <w:jc w:val="left"/>
            </w:pPr>
            <w:r>
              <w:rPr>
                <w:b/>
                <w:color w:val="0C4E54"/>
                <w:sz w:val="20"/>
              </w:rPr>
              <w:t>KONU</w:t>
            </w:r>
          </w:p>
        </w:tc>
        <w:tc>
          <w:tcPr>
            <w:tcW w:w="6803" w:type="dxa"/>
          </w:tcPr>
          <w:p w:rsidR="000F20F4" w:rsidRDefault="008B410B">
            <w:pPr>
              <w:spacing w:after="20" w:line="252" w:lineRule="auto"/>
              <w:jc w:val="left"/>
            </w:pPr>
            <w:r>
              <w:rPr>
                <w:sz w:val="20"/>
              </w:rPr>
              <w:t xml:space="preserve">İzahname ve yatırımcı bilgi formuna, portföy sınırlamalarına, </w:t>
            </w:r>
            <w:r>
              <w:rPr>
                <w:sz w:val="20"/>
              </w:rPr>
              <w:t>aydınlatma, özen ve sadakat yükümlülüklerine aykırı satış ve yönetim nedeniyle uğranılan zararın tazmini; iade bedelinin ödenmesi; işlem ve portföy kayıtlarının verilmesi; temerrüt ve hukuki sorumluluğun ihtarıdır.</w:t>
            </w:r>
          </w:p>
        </w:tc>
      </w:tr>
    </w:tbl>
    <w:p w:rsidR="000F20F4" w:rsidRDefault="000F20F4">
      <w:pPr>
        <w:spacing w:after="0"/>
      </w:pPr>
    </w:p>
    <w:p w:rsidR="000F20F4" w:rsidRDefault="008B410B">
      <w:pPr>
        <w:keepNext/>
        <w:pBdr>
          <w:bottom w:val="single" w:sz="6" w:space="1" w:color="0C4E54"/>
        </w:pBdr>
        <w:spacing w:before="240"/>
      </w:pPr>
      <w:r>
        <w:rPr>
          <w:b/>
          <w:color w:val="0C4E54"/>
          <w:sz w:val="23"/>
        </w:rPr>
        <w:t>AÇIKLAMALAR</w:t>
      </w:r>
    </w:p>
    <w:p w:rsidR="000F20F4" w:rsidRDefault="008B410B">
      <w:pPr>
        <w:keepNext/>
        <w:spacing w:after="60"/>
      </w:pPr>
      <w:r>
        <w:rPr>
          <w:b/>
          <w:color w:val="0C4E54"/>
        </w:rPr>
        <w:t>1. Yatırım ilişkisi</w:t>
      </w:r>
    </w:p>
    <w:p w:rsidR="000F20F4" w:rsidRDefault="008B410B">
      <w:r>
        <w:t>Muhatap</w:t>
      </w:r>
      <w:r>
        <w:t xml:space="preserve"> 2 nezdindeki [●] numaralı yatırım hesabım aracılığıyla, kurucusu Muhatap 1 olan [fon adı ve kodu] fonuna ait katılma paylarını aşağıdaki tarihlerde edindim:</w:t>
      </w:r>
    </w:p>
    <w:tbl>
      <w:tblPr>
        <w:tblStyle w:val="TabloKlavuzu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74"/>
        <w:gridCol w:w="2381"/>
        <w:gridCol w:w="1474"/>
        <w:gridCol w:w="2041"/>
        <w:gridCol w:w="1871"/>
      </w:tblGrid>
      <w:tr w:rsidR="000F20F4">
        <w:trPr>
          <w:jc w:val="center"/>
        </w:trPr>
        <w:tc>
          <w:tcPr>
            <w:tcW w:w="1474" w:type="dxa"/>
            <w:shd w:val="clear" w:color="auto" w:fill="0C4E54"/>
          </w:tcPr>
          <w:p w:rsidR="000F20F4" w:rsidRDefault="008B410B">
            <w:r>
              <w:rPr>
                <w:b/>
                <w:color w:val="FFFFFF"/>
                <w:sz w:val="19"/>
              </w:rPr>
              <w:t>Tarih</w:t>
            </w:r>
          </w:p>
        </w:tc>
        <w:tc>
          <w:tcPr>
            <w:tcW w:w="2381" w:type="dxa"/>
            <w:shd w:val="clear" w:color="auto" w:fill="0C4E54"/>
          </w:tcPr>
          <w:p w:rsidR="000F20F4" w:rsidRDefault="008B410B">
            <w:r>
              <w:rPr>
                <w:b/>
                <w:color w:val="FFFFFF"/>
                <w:sz w:val="19"/>
              </w:rPr>
              <w:t>İşlem</w:t>
            </w:r>
          </w:p>
        </w:tc>
        <w:tc>
          <w:tcPr>
            <w:tcW w:w="1474" w:type="dxa"/>
            <w:shd w:val="clear" w:color="auto" w:fill="0C4E54"/>
          </w:tcPr>
          <w:p w:rsidR="000F20F4" w:rsidRDefault="008B410B">
            <w:r>
              <w:rPr>
                <w:b/>
                <w:color w:val="FFFFFF"/>
                <w:sz w:val="19"/>
              </w:rPr>
              <w:t>Pay adedi</w:t>
            </w:r>
          </w:p>
        </w:tc>
        <w:tc>
          <w:tcPr>
            <w:tcW w:w="2041" w:type="dxa"/>
            <w:shd w:val="clear" w:color="auto" w:fill="0C4E54"/>
          </w:tcPr>
          <w:p w:rsidR="000F20F4" w:rsidRDefault="008B410B">
            <w:r>
              <w:rPr>
                <w:b/>
                <w:color w:val="FFFFFF"/>
                <w:sz w:val="19"/>
              </w:rPr>
              <w:t>Birim pay değeri (TL)</w:t>
            </w:r>
          </w:p>
        </w:tc>
        <w:tc>
          <w:tcPr>
            <w:tcW w:w="1871" w:type="dxa"/>
            <w:shd w:val="clear" w:color="auto" w:fill="0C4E54"/>
          </w:tcPr>
          <w:p w:rsidR="000F20F4" w:rsidRDefault="008B410B">
            <w:r>
              <w:rPr>
                <w:b/>
                <w:color w:val="FFFFFF"/>
                <w:sz w:val="19"/>
              </w:rPr>
              <w:t>Tutar (TL)</w:t>
            </w:r>
          </w:p>
        </w:tc>
      </w:tr>
      <w:tr w:rsidR="000F20F4">
        <w:trPr>
          <w:jc w:val="center"/>
        </w:trPr>
        <w:tc>
          <w:tcPr>
            <w:tcW w:w="1474" w:type="dxa"/>
          </w:tcPr>
          <w:p w:rsidR="000F20F4" w:rsidRDefault="008B410B">
            <w:pPr>
              <w:spacing w:after="20" w:line="252" w:lineRule="auto"/>
              <w:jc w:val="left"/>
            </w:pPr>
            <w:r>
              <w:rPr>
                <w:sz w:val="19"/>
              </w:rPr>
              <w:t>[●]</w:t>
            </w:r>
          </w:p>
        </w:tc>
        <w:tc>
          <w:tcPr>
            <w:tcW w:w="2381" w:type="dxa"/>
          </w:tcPr>
          <w:p w:rsidR="000F20F4" w:rsidRDefault="008B410B">
            <w:pPr>
              <w:spacing w:after="20" w:line="252" w:lineRule="auto"/>
              <w:jc w:val="left"/>
            </w:pPr>
            <w:r>
              <w:rPr>
                <w:sz w:val="19"/>
              </w:rPr>
              <w:t>Alım</w:t>
            </w:r>
          </w:p>
        </w:tc>
        <w:tc>
          <w:tcPr>
            <w:tcW w:w="1474" w:type="dxa"/>
          </w:tcPr>
          <w:p w:rsidR="000F20F4" w:rsidRDefault="008B410B">
            <w:pPr>
              <w:spacing w:after="20" w:line="252" w:lineRule="auto"/>
              <w:jc w:val="left"/>
            </w:pPr>
            <w:r>
              <w:rPr>
                <w:sz w:val="19"/>
              </w:rPr>
              <w:t>[●]</w:t>
            </w:r>
          </w:p>
        </w:tc>
        <w:tc>
          <w:tcPr>
            <w:tcW w:w="2041" w:type="dxa"/>
          </w:tcPr>
          <w:p w:rsidR="000F20F4" w:rsidRDefault="008B410B">
            <w:pPr>
              <w:spacing w:after="20" w:line="252" w:lineRule="auto"/>
              <w:jc w:val="left"/>
            </w:pPr>
            <w:r>
              <w:rPr>
                <w:sz w:val="19"/>
              </w:rPr>
              <w:t>[●]</w:t>
            </w:r>
          </w:p>
        </w:tc>
        <w:tc>
          <w:tcPr>
            <w:tcW w:w="1871" w:type="dxa"/>
          </w:tcPr>
          <w:p w:rsidR="000F20F4" w:rsidRDefault="008B410B">
            <w:pPr>
              <w:spacing w:after="20" w:line="252" w:lineRule="auto"/>
              <w:jc w:val="left"/>
            </w:pPr>
            <w:r>
              <w:rPr>
                <w:sz w:val="19"/>
              </w:rPr>
              <w:t>[●]</w:t>
            </w:r>
          </w:p>
        </w:tc>
      </w:tr>
      <w:tr w:rsidR="000F20F4">
        <w:trPr>
          <w:jc w:val="center"/>
        </w:trPr>
        <w:tc>
          <w:tcPr>
            <w:tcW w:w="1474" w:type="dxa"/>
            <w:shd w:val="clear" w:color="auto" w:fill="F4F7F7"/>
          </w:tcPr>
          <w:p w:rsidR="000F20F4" w:rsidRDefault="008B410B">
            <w:pPr>
              <w:spacing w:after="20" w:line="252" w:lineRule="auto"/>
              <w:jc w:val="left"/>
            </w:pPr>
            <w:r>
              <w:rPr>
                <w:sz w:val="19"/>
              </w:rPr>
              <w:t>[●]</w:t>
            </w:r>
          </w:p>
        </w:tc>
        <w:tc>
          <w:tcPr>
            <w:tcW w:w="2381" w:type="dxa"/>
            <w:shd w:val="clear" w:color="auto" w:fill="F4F7F7"/>
          </w:tcPr>
          <w:p w:rsidR="000F20F4" w:rsidRDefault="008B410B">
            <w:pPr>
              <w:spacing w:after="20" w:line="252" w:lineRule="auto"/>
              <w:jc w:val="left"/>
            </w:pPr>
            <w:r>
              <w:rPr>
                <w:sz w:val="19"/>
              </w:rPr>
              <w:t>Alım</w:t>
            </w:r>
          </w:p>
        </w:tc>
        <w:tc>
          <w:tcPr>
            <w:tcW w:w="1474" w:type="dxa"/>
            <w:shd w:val="clear" w:color="auto" w:fill="F4F7F7"/>
          </w:tcPr>
          <w:p w:rsidR="000F20F4" w:rsidRDefault="008B410B">
            <w:pPr>
              <w:spacing w:after="20" w:line="252" w:lineRule="auto"/>
              <w:jc w:val="left"/>
            </w:pPr>
            <w:r>
              <w:rPr>
                <w:sz w:val="19"/>
              </w:rPr>
              <w:t>[●]</w:t>
            </w:r>
          </w:p>
        </w:tc>
        <w:tc>
          <w:tcPr>
            <w:tcW w:w="2041" w:type="dxa"/>
            <w:shd w:val="clear" w:color="auto" w:fill="F4F7F7"/>
          </w:tcPr>
          <w:p w:rsidR="000F20F4" w:rsidRDefault="008B410B">
            <w:pPr>
              <w:spacing w:after="20" w:line="252" w:lineRule="auto"/>
              <w:jc w:val="left"/>
            </w:pPr>
            <w:r>
              <w:rPr>
                <w:sz w:val="19"/>
              </w:rPr>
              <w:t>[●]</w:t>
            </w:r>
          </w:p>
        </w:tc>
        <w:tc>
          <w:tcPr>
            <w:tcW w:w="1871" w:type="dxa"/>
            <w:shd w:val="clear" w:color="auto" w:fill="F4F7F7"/>
          </w:tcPr>
          <w:p w:rsidR="000F20F4" w:rsidRDefault="008B410B">
            <w:pPr>
              <w:spacing w:after="20" w:line="252" w:lineRule="auto"/>
              <w:jc w:val="left"/>
            </w:pPr>
            <w:r>
              <w:rPr>
                <w:sz w:val="19"/>
              </w:rPr>
              <w:t>[●]</w:t>
            </w:r>
          </w:p>
        </w:tc>
      </w:tr>
      <w:tr w:rsidR="000F20F4">
        <w:trPr>
          <w:jc w:val="center"/>
        </w:trPr>
        <w:tc>
          <w:tcPr>
            <w:tcW w:w="1474" w:type="dxa"/>
          </w:tcPr>
          <w:p w:rsidR="000F20F4" w:rsidRDefault="008B410B">
            <w:pPr>
              <w:spacing w:after="20" w:line="252" w:lineRule="auto"/>
              <w:jc w:val="left"/>
            </w:pPr>
            <w:r>
              <w:rPr>
                <w:sz w:val="19"/>
              </w:rPr>
              <w:t>[●]</w:t>
            </w:r>
          </w:p>
        </w:tc>
        <w:tc>
          <w:tcPr>
            <w:tcW w:w="2381" w:type="dxa"/>
          </w:tcPr>
          <w:p w:rsidR="000F20F4" w:rsidRDefault="008B410B">
            <w:pPr>
              <w:spacing w:after="20" w:line="252" w:lineRule="auto"/>
              <w:jc w:val="left"/>
            </w:pPr>
            <w:r>
              <w:rPr>
                <w:sz w:val="19"/>
              </w:rPr>
              <w:t>İade talimatı (varsa)</w:t>
            </w:r>
          </w:p>
        </w:tc>
        <w:tc>
          <w:tcPr>
            <w:tcW w:w="1474" w:type="dxa"/>
          </w:tcPr>
          <w:p w:rsidR="000F20F4" w:rsidRDefault="008B410B">
            <w:pPr>
              <w:spacing w:after="20" w:line="252" w:lineRule="auto"/>
              <w:jc w:val="left"/>
            </w:pPr>
            <w:r>
              <w:rPr>
                <w:sz w:val="19"/>
              </w:rPr>
              <w:t>[●]</w:t>
            </w:r>
          </w:p>
        </w:tc>
        <w:tc>
          <w:tcPr>
            <w:tcW w:w="2041" w:type="dxa"/>
          </w:tcPr>
          <w:p w:rsidR="000F20F4" w:rsidRDefault="008B410B">
            <w:pPr>
              <w:spacing w:after="20" w:line="252" w:lineRule="auto"/>
              <w:jc w:val="left"/>
            </w:pPr>
            <w:r>
              <w:rPr>
                <w:sz w:val="19"/>
              </w:rPr>
              <w:t>[●]</w:t>
            </w:r>
          </w:p>
        </w:tc>
        <w:tc>
          <w:tcPr>
            <w:tcW w:w="1871" w:type="dxa"/>
          </w:tcPr>
          <w:p w:rsidR="000F20F4" w:rsidRDefault="008B410B">
            <w:pPr>
              <w:spacing w:after="20" w:line="252" w:lineRule="auto"/>
              <w:jc w:val="left"/>
            </w:pPr>
            <w:r>
              <w:rPr>
                <w:sz w:val="19"/>
              </w:rPr>
              <w:t>[●]</w:t>
            </w:r>
          </w:p>
        </w:tc>
      </w:tr>
      <w:tr w:rsidR="000F20F4">
        <w:trPr>
          <w:jc w:val="center"/>
        </w:trPr>
        <w:tc>
          <w:tcPr>
            <w:tcW w:w="1474" w:type="dxa"/>
            <w:shd w:val="clear" w:color="auto" w:fill="F4F7F7"/>
          </w:tcPr>
          <w:p w:rsidR="000F20F4" w:rsidRDefault="000F20F4">
            <w:pPr>
              <w:spacing w:after="20" w:line="252" w:lineRule="auto"/>
              <w:jc w:val="left"/>
            </w:pPr>
          </w:p>
        </w:tc>
        <w:tc>
          <w:tcPr>
            <w:tcW w:w="2381" w:type="dxa"/>
            <w:shd w:val="clear" w:color="auto" w:fill="F4F7F7"/>
          </w:tcPr>
          <w:p w:rsidR="000F20F4" w:rsidRDefault="008B410B">
            <w:pPr>
              <w:spacing w:after="20" w:line="252" w:lineRule="auto"/>
              <w:jc w:val="left"/>
            </w:pPr>
            <w:r>
              <w:rPr>
                <w:sz w:val="19"/>
              </w:rPr>
              <w:t>TOPLAM YATIRIM</w:t>
            </w:r>
          </w:p>
        </w:tc>
        <w:tc>
          <w:tcPr>
            <w:tcW w:w="1474" w:type="dxa"/>
            <w:shd w:val="clear" w:color="auto" w:fill="F4F7F7"/>
          </w:tcPr>
          <w:p w:rsidR="000F20F4" w:rsidRDefault="000F20F4">
            <w:pPr>
              <w:spacing w:after="20" w:line="252" w:lineRule="auto"/>
              <w:jc w:val="left"/>
            </w:pPr>
          </w:p>
        </w:tc>
        <w:tc>
          <w:tcPr>
            <w:tcW w:w="2041" w:type="dxa"/>
            <w:shd w:val="clear" w:color="auto" w:fill="F4F7F7"/>
          </w:tcPr>
          <w:p w:rsidR="000F20F4" w:rsidRDefault="000F20F4">
            <w:pPr>
              <w:spacing w:after="20" w:line="252" w:lineRule="auto"/>
              <w:jc w:val="left"/>
            </w:pPr>
          </w:p>
        </w:tc>
        <w:tc>
          <w:tcPr>
            <w:tcW w:w="1871" w:type="dxa"/>
            <w:shd w:val="clear" w:color="auto" w:fill="F4F7F7"/>
          </w:tcPr>
          <w:p w:rsidR="000F20F4" w:rsidRDefault="008B410B">
            <w:pPr>
              <w:spacing w:after="20" w:line="252" w:lineRule="auto"/>
              <w:jc w:val="left"/>
            </w:pPr>
            <w:r>
              <w:rPr>
                <w:sz w:val="19"/>
              </w:rPr>
              <w:t>[●]</w:t>
            </w:r>
          </w:p>
        </w:tc>
      </w:tr>
    </w:tbl>
    <w:p w:rsidR="000F20F4" w:rsidRDefault="000F20F4">
      <w:pPr>
        <w:spacing w:after="0"/>
      </w:pPr>
    </w:p>
    <w:p w:rsidR="000F20F4" w:rsidRDefault="008B410B">
      <w:pPr>
        <w:keepNext/>
        <w:spacing w:after="60"/>
      </w:pPr>
      <w:r>
        <w:rPr>
          <w:b/>
          <w:color w:val="0C4E54"/>
        </w:rPr>
        <w:t>2. Sermaye Piyasası Kurulu kararları ve fonun mevcut durumu</w:t>
      </w:r>
    </w:p>
    <w:p w:rsidR="000F20F4" w:rsidRDefault="008B410B">
      <w:r>
        <w:t xml:space="preserve">Sermaye Piyasası Kurulu, 17.09.2026 tarih ve 57/1708 sayılı kararıyla aralarında Muhatap 1’in de bulunduğu yedi portföy yönetim </w:t>
      </w:r>
      <w:r>
        <w:t>şirketinin fonlarının TEFAS’taki işlemlerini durdurmuş ve 131 fonu tasfiye kapsamına almıştır; tasfiye süresi 20.09.2026 tarih ve 59/1710 sayılı kararla altı aya uzatılmıştır. Kurul ayrıca 16.09.2026 tarihli kararıyla (2026/59 sayılı Bülten) bazı paylardak</w:t>
      </w:r>
      <w:r>
        <w:t>i işlemler nedeniyle 6362 sayılı Sermaye Piyasası Kanunu (SPKn) m.107/1 kapsamında suç duyurusunda bulunmuş, İstanbul Cumhuriyet Başsavcılığı da şirket yöneticileri hakkında soruşturma başlatmıştır. [Fon tasfiyeye alınmamışsa bu paragraf fonun güncel durum</w:t>
      </w:r>
      <w:r>
        <w:t>una göre uyarlanacaktır.]</w:t>
      </w:r>
    </w:p>
    <w:p w:rsidR="000F20F4" w:rsidRDefault="008B410B">
      <w:pPr>
        <w:keepNext/>
        <w:spacing w:after="60"/>
      </w:pPr>
      <w:r>
        <w:rPr>
          <w:b/>
          <w:color w:val="0C4E54"/>
        </w:rPr>
        <w:t>3. Dağıtıcı kuruluşun aydınlatma ve uygunluk yükümlülüklerine aykırılık (Muhatap 2)</w:t>
      </w:r>
    </w:p>
    <w:p w:rsidR="000F20F4" w:rsidRDefault="008B410B">
      <w:r>
        <w:t xml:space="preserve">Sermaye piyasası mevzuatı uyarınca katılma payını satan kuruluş; izahname ve yatırımcı bilgi formunu satıştan önce sunmak, ürünün risklerini açık </w:t>
      </w:r>
      <w:r>
        <w:t xml:space="preserve">ve anlaşılır biçimde anlatmak, uygunluk ve yerindelik </w:t>
      </w:r>
      <w:r>
        <w:lastRenderedPageBreak/>
        <w:t>testlerini gerçeğe uygun şekilde uygulamak ve yatırımcının profiline uygun olmayan ürün hakkında yazılı uyarıda bulunmakla yükümlüdür. Tarafıma yapılan satışta:</w:t>
      </w:r>
    </w:p>
    <w:p w:rsidR="000F20F4" w:rsidRDefault="008B410B">
      <w:pPr>
        <w:tabs>
          <w:tab w:val="left" w:pos="454"/>
        </w:tabs>
        <w:ind w:left="454" w:hanging="454"/>
      </w:pPr>
      <w:r>
        <w:rPr>
          <w:b/>
        </w:rPr>
        <w:t>1.</w:t>
      </w:r>
      <w:r>
        <w:rPr>
          <w:b/>
        </w:rPr>
        <w:tab/>
      </w:r>
      <w:r>
        <w:t>Fonun portföyündeki yoğunlaşma ve liki</w:t>
      </w:r>
      <w:r>
        <w:t>dite riski ile olası iade gecikmesi riski açıkça anlatılmamıştır,</w:t>
      </w:r>
    </w:p>
    <w:p w:rsidR="000F20F4" w:rsidRDefault="008B410B">
      <w:pPr>
        <w:tabs>
          <w:tab w:val="left" w:pos="454"/>
        </w:tabs>
        <w:ind w:left="454" w:hanging="454"/>
      </w:pPr>
      <w:r>
        <w:rPr>
          <w:b/>
        </w:rPr>
        <w:t>2.</w:t>
      </w:r>
      <w:r>
        <w:rPr>
          <w:b/>
        </w:rPr>
        <w:tab/>
      </w:r>
      <w:r>
        <w:t>Risk profilimin belirlenmesi usulüne uygun yapılmamış veya ürün, profilime uygun olmadığı hâlde uyarı yapılmaksızın satılmıştır,</w:t>
      </w:r>
    </w:p>
    <w:p w:rsidR="000F20F4" w:rsidRDefault="008B410B">
      <w:pPr>
        <w:tabs>
          <w:tab w:val="left" w:pos="454"/>
        </w:tabs>
        <w:ind w:left="454" w:hanging="454"/>
      </w:pPr>
      <w:r>
        <w:rPr>
          <w:b/>
        </w:rPr>
        <w:t>3.</w:t>
      </w:r>
      <w:r>
        <w:rPr>
          <w:b/>
        </w:rPr>
        <w:tab/>
      </w:r>
      <w:r>
        <w:t>Pazarlama sürecinde geçmiş getiri öne çıkarılarak fonun</w:t>
      </w:r>
      <w:r>
        <w:t xml:space="preserve"> risk düzeyi gerçeğe aykırı biçimde düşük gösterilmiştir.</w:t>
      </w:r>
    </w:p>
    <w:p w:rsidR="000F20F4" w:rsidRDefault="008B410B">
      <w:r>
        <w:rPr>
          <w:color w:val="5A5957"/>
          <w:sz w:val="19"/>
        </w:rPr>
        <w:t>[Somut olaya uymayan bentler çıkarılmalı; varsa pazarlama mesajları ve yazışmalar belirtilmelidir.]</w:t>
      </w:r>
    </w:p>
    <w:p w:rsidR="000F20F4" w:rsidRDefault="008B410B">
      <w:pPr>
        <w:keepNext/>
        <w:spacing w:after="60"/>
      </w:pPr>
      <w:r>
        <w:rPr>
          <w:b/>
          <w:color w:val="0C4E54"/>
        </w:rPr>
        <w:t>4. Kurucunun özen ve sadakat yükümlülüğüne aykırı yönetimi (Muhatap 1)</w:t>
      </w:r>
    </w:p>
    <w:p w:rsidR="000F20F4" w:rsidRDefault="008B410B">
      <w:r>
        <w:t xml:space="preserve">SPKn m.52 uyarınca kurucu, </w:t>
      </w:r>
      <w:r>
        <w:t>fonu katılma payı sahiplerinin haklarını koruyacak şekilde, basiretli bir tacir gibi yönetmekle yükümlüdür; bu yükümlülük izahnamedeki yatırım stratejisine, portföy sınırlamalarına ve likidite yönetimi kurallarına uyulmasını da kapsar. Kamuya açık bilgiler</w:t>
      </w:r>
      <w:r>
        <w:t xml:space="preserve"> ve KAP bildirimleri, ilgili fonda aşağıdaki hususlara dair ciddi emareler bulunduğunu göstermektedir:</w:t>
      </w:r>
    </w:p>
    <w:p w:rsidR="000F20F4" w:rsidRDefault="008B410B">
      <w:pPr>
        <w:tabs>
          <w:tab w:val="left" w:pos="454"/>
        </w:tabs>
        <w:ind w:left="454" w:hanging="454"/>
      </w:pPr>
      <w:r>
        <w:rPr>
          <w:b/>
        </w:rPr>
        <w:t>1.</w:t>
      </w:r>
      <w:r>
        <w:rPr>
          <w:b/>
        </w:rPr>
        <w:tab/>
      </w:r>
      <w:r>
        <w:t>Fon portföyünün sınırlı sayıda ve düşük fiili dolaşımlı paylarda yoğunlaştırıldığı, izahnamedeki strateji ve risk yönetimi esaslarına aykırı hareket e</w:t>
      </w:r>
      <w:r>
        <w:t>dildiği,</w:t>
      </w:r>
    </w:p>
    <w:p w:rsidR="000F20F4" w:rsidRDefault="008B410B">
      <w:pPr>
        <w:tabs>
          <w:tab w:val="left" w:pos="454"/>
        </w:tabs>
        <w:ind w:left="454" w:hanging="454"/>
      </w:pPr>
      <w:r>
        <w:rPr>
          <w:b/>
        </w:rPr>
        <w:t>2.</w:t>
      </w:r>
      <w:r>
        <w:rPr>
          <w:b/>
        </w:rPr>
        <w:tab/>
      </w:r>
      <w:r>
        <w:t>Fon varlıklarının ilişkili kişi ve şirketler lehine işlemlere konu edilmiş olabileceği,</w:t>
      </w:r>
    </w:p>
    <w:p w:rsidR="000F20F4" w:rsidRDefault="008B410B">
      <w:pPr>
        <w:tabs>
          <w:tab w:val="left" w:pos="454"/>
        </w:tabs>
        <w:ind w:left="454" w:hanging="454"/>
      </w:pPr>
      <w:r>
        <w:rPr>
          <w:b/>
        </w:rPr>
        <w:t>3.</w:t>
      </w:r>
      <w:r>
        <w:rPr>
          <w:b/>
        </w:rPr>
        <w:tab/>
      </w:r>
      <w:r>
        <w:t>Olağan piyasa riskinin ötesinde, yönetim kusurundan kaynaklanan bir değer kaybı oluştuğu,</w:t>
      </w:r>
    </w:p>
    <w:p w:rsidR="000F20F4" w:rsidRDefault="008B410B">
      <w:pPr>
        <w:tabs>
          <w:tab w:val="left" w:pos="454"/>
        </w:tabs>
        <w:ind w:left="454" w:hanging="454"/>
      </w:pPr>
      <w:r>
        <w:rPr>
          <w:b/>
        </w:rPr>
        <w:t>4.</w:t>
      </w:r>
      <w:r>
        <w:rPr>
          <w:b/>
        </w:rPr>
        <w:tab/>
      </w:r>
      <w:r>
        <w:t>İade taleplerinin izahnamede öngörülen valör süreleri içinde</w:t>
      </w:r>
      <w:r>
        <w:t xml:space="preserve"> karşılanmadığı.</w:t>
      </w:r>
    </w:p>
    <w:p w:rsidR="000F20F4" w:rsidRDefault="008B410B">
      <w:pPr>
        <w:keepNext/>
        <w:spacing w:after="60"/>
      </w:pPr>
      <w:r>
        <w:rPr>
          <w:b/>
          <w:color w:val="0C4E54"/>
        </w:rPr>
        <w:t>5. Portföy saklayıcısının gözetim yükümlülüğü (Muhatap 3 — isteğe bağlı)</w:t>
      </w:r>
    </w:p>
    <w:p w:rsidR="000F20F4" w:rsidRDefault="008B410B">
      <w:r>
        <w:t>Portföy saklayıcısı, fon varlıklarını saklamanın yanında fonun mevzuata ve izahnameye uygun yönetilip yönetilmediğini gözetmekle de yükümlüdür. Açık bir sınırlama ihl</w:t>
      </w:r>
      <w:r>
        <w:t>alinin zamanında tespit edilip Kurula bildirilmemesi hâlinde saklayıcının da sorumluluğu gündeme gelir.</w:t>
      </w:r>
    </w:p>
    <w:p w:rsidR="000F20F4" w:rsidRDefault="008B410B">
      <w:pPr>
        <w:keepNext/>
        <w:spacing w:after="60"/>
      </w:pPr>
      <w:r>
        <w:rPr>
          <w:b/>
          <w:color w:val="0C4E54"/>
        </w:rPr>
        <w:t>6. Zarar ve sorumluluk</w:t>
      </w:r>
    </w:p>
    <w:p w:rsidR="000F20F4" w:rsidRDefault="008B410B">
      <w:r>
        <w:t>Yukarıdaki aykırılıklar sonucunda, olağan piyasa dalgalanmalarıyla açıklanamayacak şekilde, ekli hesap tablosuna göre [●] TL tuta</w:t>
      </w:r>
      <w:r>
        <w:t>rında zarara uğradım. Zarar; yatırılan tutar ile bugüne kadar tahsil edilen tutar arasındaki fark ve verilen iade talimatının gereği gibi yerine getirilmesi hâlinde elde edilecek tutar esas alınarak hesaplanmıştır. Muhataplar, sözleşmeye aykırılık (TBK m.1</w:t>
      </w:r>
      <w:r>
        <w:t>12) ve haksız fiil (TBK m.49) hükümleri ile sermaye piyasası mevzuatından doğan yükümlülükleri uyarınca, kusurları oranında ve TBK m.61 koşulları gerçekleştiğinden müteselsilen sorumludur. Fonun tasfiyeye alınmış olması, muhatapların tasfiyeden önce doğmuş</w:t>
      </w:r>
      <w:r>
        <w:t xml:space="preserve"> sorumluluğunu ortadan kaldırmaz.</w:t>
      </w:r>
    </w:p>
    <w:p w:rsidR="000F20F4" w:rsidRDefault="008B410B">
      <w:pPr>
        <w:keepNext/>
        <w:pBdr>
          <w:bottom w:val="single" w:sz="6" w:space="1" w:color="0C4E54"/>
        </w:pBdr>
        <w:spacing w:before="240"/>
      </w:pPr>
      <w:r>
        <w:rPr>
          <w:b/>
          <w:color w:val="0C4E54"/>
          <w:sz w:val="23"/>
        </w:rPr>
        <w:t>SONUÇ VE İHTAR</w:t>
      </w:r>
    </w:p>
    <w:p w:rsidR="000F20F4" w:rsidRDefault="008B410B">
      <w:pPr>
        <w:spacing w:after="80"/>
      </w:pPr>
      <w:r>
        <w:t>Yukarıda açıklanan nedenlerle, işbu ihtarnamenin tebliğinden itibaren 7 (yedi) gün içinde:</w:t>
      </w:r>
    </w:p>
    <w:p w:rsidR="000F20F4" w:rsidRDefault="008B410B">
      <w:pPr>
        <w:tabs>
          <w:tab w:val="left" w:pos="454"/>
        </w:tabs>
        <w:ind w:left="454" w:hanging="454"/>
      </w:pPr>
      <w:r>
        <w:rPr>
          <w:b/>
        </w:rPr>
        <w:t>1.</w:t>
      </w:r>
      <w:r>
        <w:rPr>
          <w:b/>
        </w:rPr>
        <w:tab/>
      </w:r>
      <w:r>
        <w:t xml:space="preserve">Tarafıma ait </w:t>
      </w:r>
      <w:r>
        <w:rPr>
          <w:b/>
        </w:rPr>
        <w:t>[●] TL</w:t>
      </w:r>
      <w:r>
        <w:t xml:space="preserve"> zararın, zarar tarihinden itibaren işleyecek faiziyle birlikte aşağıda belirtilen banka hesab</w:t>
      </w:r>
      <w:r>
        <w:t>ıma ödenmesini,</w:t>
      </w:r>
    </w:p>
    <w:p w:rsidR="000F20F4" w:rsidRDefault="008B410B">
      <w:pPr>
        <w:tabs>
          <w:tab w:val="left" w:pos="454"/>
        </w:tabs>
        <w:ind w:left="454" w:hanging="454"/>
      </w:pPr>
      <w:r>
        <w:rPr>
          <w:b/>
        </w:rPr>
        <w:t>2.</w:t>
      </w:r>
      <w:r>
        <w:rPr>
          <w:b/>
        </w:rPr>
        <w:tab/>
      </w:r>
      <w:r>
        <w:t>Verdiğim iade talimatına ilişkin bedelin ödenmesini veya ödenemiyorsa gerekçesinin, hesaplama yöntemiyle birlikte yazılı olarak bildirilmesini,</w:t>
      </w:r>
    </w:p>
    <w:p w:rsidR="000F20F4" w:rsidRDefault="008B410B">
      <w:pPr>
        <w:tabs>
          <w:tab w:val="left" w:pos="454"/>
        </w:tabs>
        <w:ind w:left="454" w:hanging="454"/>
      </w:pPr>
      <w:r>
        <w:rPr>
          <w:b/>
        </w:rPr>
        <w:t>3.</w:t>
      </w:r>
      <w:r>
        <w:rPr>
          <w:b/>
        </w:rPr>
        <w:tab/>
      </w:r>
      <w:r>
        <w:t>Hesap ekstreleri, alım ve iade emir kayıtları (zaman damgalı), uygunluk ve yerindelik test</w:t>
      </w:r>
      <w:r>
        <w:t xml:space="preserve"> sonuçları, risk bildirim formu, fonun yatırım tarihimden bugüne portföy dağılım raporları ve birim pay değeri geçmişinin tarafıma yazılı olarak verilmesini,</w:t>
      </w:r>
    </w:p>
    <w:p w:rsidR="000F20F4" w:rsidRDefault="008B410B">
      <w:pPr>
        <w:tabs>
          <w:tab w:val="left" w:pos="454"/>
        </w:tabs>
        <w:ind w:left="454" w:hanging="454"/>
      </w:pPr>
      <w:r>
        <w:rPr>
          <w:b/>
        </w:rPr>
        <w:lastRenderedPageBreak/>
        <w:t>4.</w:t>
      </w:r>
      <w:r>
        <w:rPr>
          <w:b/>
        </w:rPr>
        <w:tab/>
      </w:r>
      <w:r>
        <w:t>Bu kayıtların olası adli ve idari süreçler sonuçlanıncaya kadar silinmeden ve değiştirilmeden s</w:t>
      </w:r>
      <w:r>
        <w:t>aklanmasını,</w:t>
      </w:r>
    </w:p>
    <w:p w:rsidR="000F20F4" w:rsidRDefault="008B410B">
      <w:pPr>
        <w:spacing w:after="120"/>
      </w:pPr>
      <w:r>
        <w:t>ihtar ederim.</w:t>
      </w:r>
    </w:p>
    <w:p w:rsidR="000F20F4" w:rsidRDefault="008B410B">
      <w:pPr>
        <w:spacing w:after="80"/>
      </w:pPr>
      <w:r>
        <w:t>Belirtilen süre içinde talebimin karşılanmaması hâlinde; muhataplar temerrüde düşmüş sayılacak ve herhangi bir ek bildirime gerek kalmaksızın aşağıdaki yollara başvurulacaktır:</w:t>
      </w:r>
    </w:p>
    <w:p w:rsidR="000F20F4" w:rsidRDefault="008B410B">
      <w:pPr>
        <w:tabs>
          <w:tab w:val="left" w:pos="454"/>
        </w:tabs>
        <w:ind w:left="454" w:hanging="454"/>
      </w:pPr>
      <w:r>
        <w:rPr>
          <w:b/>
        </w:rPr>
        <w:t>1.</w:t>
      </w:r>
      <w:r>
        <w:rPr>
          <w:b/>
        </w:rPr>
        <w:tab/>
      </w:r>
      <w:r>
        <w:t>Dava şartı arabuluculuk başvurusu ve ardından taz</w:t>
      </w:r>
      <w:r>
        <w:t>minat davası açılması,</w:t>
      </w:r>
    </w:p>
    <w:p w:rsidR="000F20F4" w:rsidRDefault="008B410B">
      <w:pPr>
        <w:tabs>
          <w:tab w:val="left" w:pos="454"/>
        </w:tabs>
        <w:ind w:left="454" w:hanging="454"/>
      </w:pPr>
      <w:r>
        <w:rPr>
          <w:b/>
        </w:rPr>
        <w:t>2.</w:t>
      </w:r>
      <w:r>
        <w:rPr>
          <w:b/>
        </w:rPr>
        <w:tab/>
      </w:r>
      <w:r>
        <w:t>Muhatapların malvarlıkları üzerine ihtiyati tedbir ve ihtiyati haciz konulması talebi,</w:t>
      </w:r>
    </w:p>
    <w:p w:rsidR="000F20F4" w:rsidRDefault="008B410B">
      <w:pPr>
        <w:tabs>
          <w:tab w:val="left" w:pos="454"/>
        </w:tabs>
        <w:ind w:left="454" w:hanging="454"/>
      </w:pPr>
      <w:r>
        <w:rPr>
          <w:b/>
        </w:rPr>
        <w:t>3.</w:t>
      </w:r>
      <w:r>
        <w:rPr>
          <w:b/>
        </w:rPr>
        <w:tab/>
      </w:r>
      <w:r>
        <w:t>SPKn m.106–107 ile TCK m.155 ve m.158 kapsamındaki eylemler yönünden Cumhuriyet Başsavcılığına suç duyurusu veya mevcut soruşturmaya müşteki</w:t>
      </w:r>
      <w:r>
        <w:t xml:space="preserve"> olarak katılma,</w:t>
      </w:r>
    </w:p>
    <w:p w:rsidR="000F20F4" w:rsidRDefault="008B410B">
      <w:pPr>
        <w:tabs>
          <w:tab w:val="left" w:pos="454"/>
        </w:tabs>
        <w:ind w:left="454" w:hanging="454"/>
      </w:pPr>
      <w:r>
        <w:rPr>
          <w:b/>
        </w:rPr>
        <w:t>4.</w:t>
      </w:r>
      <w:r>
        <w:rPr>
          <w:b/>
        </w:rPr>
        <w:tab/>
      </w:r>
      <w:r>
        <w:t>Sermaye Piyasası Kurulu’na şikâyet ile TSPB Müşteri Uyuşmazlıkları Hakem Heyeti’ne başvuru.</w:t>
      </w:r>
    </w:p>
    <w:p w:rsidR="000F20F4" w:rsidRDefault="008B410B">
      <w:r>
        <w:t>Tüm yargılama giderleri, vekâlet ücreti ve faizin muhataplara yükletileceğini; fazlaya ilişkin her türlü hakkımın, manevi tazminat ve diğer tale</w:t>
      </w:r>
      <w:r>
        <w:t>p haklarımın saklı olduğunu ihbaren ve ihtaren bildiririm.</w:t>
      </w:r>
    </w:p>
    <w:p w:rsidR="000F20F4" w:rsidRDefault="008B410B">
      <w:pPr>
        <w:keepNext/>
        <w:pBdr>
          <w:bottom w:val="single" w:sz="6" w:space="1" w:color="0C4E54"/>
        </w:pBdr>
        <w:spacing w:before="240"/>
      </w:pPr>
      <w:r>
        <w:rPr>
          <w:b/>
          <w:color w:val="0C4E54"/>
          <w:sz w:val="23"/>
        </w:rPr>
        <w:t>ÖDEME BİLGİLERİ</w:t>
      </w:r>
    </w:p>
    <w:tbl>
      <w:tblPr>
        <w:tblStyle w:val="TabloKlavuzu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38"/>
        <w:gridCol w:w="6803"/>
      </w:tblGrid>
      <w:tr w:rsidR="000F20F4">
        <w:trPr>
          <w:jc w:val="center"/>
        </w:trPr>
        <w:tc>
          <w:tcPr>
            <w:tcW w:w="2438" w:type="dxa"/>
            <w:shd w:val="clear" w:color="auto" w:fill="EEF3F3"/>
          </w:tcPr>
          <w:p w:rsidR="000F20F4" w:rsidRDefault="008B410B">
            <w:pPr>
              <w:spacing w:after="20" w:line="252" w:lineRule="auto"/>
              <w:jc w:val="left"/>
            </w:pPr>
            <w:r>
              <w:rPr>
                <w:b/>
                <w:color w:val="0C4E54"/>
                <w:sz w:val="20"/>
              </w:rPr>
              <w:t>Banka</w:t>
            </w:r>
          </w:p>
        </w:tc>
        <w:tc>
          <w:tcPr>
            <w:tcW w:w="6803" w:type="dxa"/>
          </w:tcPr>
          <w:p w:rsidR="000F20F4" w:rsidRDefault="008B410B">
            <w:pPr>
              <w:spacing w:after="20" w:line="252" w:lineRule="auto"/>
              <w:jc w:val="left"/>
            </w:pPr>
            <w:r>
              <w:rPr>
                <w:sz w:val="20"/>
              </w:rPr>
              <w:t>[●]</w:t>
            </w:r>
          </w:p>
        </w:tc>
      </w:tr>
      <w:tr w:rsidR="000F20F4">
        <w:trPr>
          <w:jc w:val="center"/>
        </w:trPr>
        <w:tc>
          <w:tcPr>
            <w:tcW w:w="2438" w:type="dxa"/>
            <w:shd w:val="clear" w:color="auto" w:fill="EEF3F3"/>
          </w:tcPr>
          <w:p w:rsidR="000F20F4" w:rsidRDefault="008B410B">
            <w:pPr>
              <w:spacing w:after="20" w:line="252" w:lineRule="auto"/>
              <w:jc w:val="left"/>
            </w:pPr>
            <w:r>
              <w:rPr>
                <w:b/>
                <w:color w:val="0C4E54"/>
                <w:sz w:val="20"/>
              </w:rPr>
              <w:t>IBAN</w:t>
            </w:r>
          </w:p>
        </w:tc>
        <w:tc>
          <w:tcPr>
            <w:tcW w:w="6803" w:type="dxa"/>
          </w:tcPr>
          <w:p w:rsidR="000F20F4" w:rsidRDefault="008B410B">
            <w:pPr>
              <w:spacing w:after="20" w:line="252" w:lineRule="auto"/>
              <w:jc w:val="left"/>
            </w:pPr>
            <w:r>
              <w:rPr>
                <w:sz w:val="20"/>
              </w:rPr>
              <w:t>TR[●]</w:t>
            </w:r>
          </w:p>
        </w:tc>
      </w:tr>
      <w:tr w:rsidR="000F20F4">
        <w:trPr>
          <w:jc w:val="center"/>
        </w:trPr>
        <w:tc>
          <w:tcPr>
            <w:tcW w:w="2438" w:type="dxa"/>
            <w:shd w:val="clear" w:color="auto" w:fill="EEF3F3"/>
          </w:tcPr>
          <w:p w:rsidR="000F20F4" w:rsidRDefault="008B410B">
            <w:pPr>
              <w:spacing w:after="20" w:line="252" w:lineRule="auto"/>
              <w:jc w:val="left"/>
            </w:pPr>
            <w:r>
              <w:rPr>
                <w:b/>
                <w:color w:val="0C4E54"/>
                <w:sz w:val="20"/>
              </w:rPr>
              <w:t>Hesap sahibi</w:t>
            </w:r>
          </w:p>
        </w:tc>
        <w:tc>
          <w:tcPr>
            <w:tcW w:w="6803" w:type="dxa"/>
          </w:tcPr>
          <w:p w:rsidR="000F20F4" w:rsidRDefault="008B410B">
            <w:pPr>
              <w:spacing w:after="20" w:line="252" w:lineRule="auto"/>
              <w:jc w:val="left"/>
            </w:pPr>
            <w:r>
              <w:rPr>
                <w:sz w:val="20"/>
              </w:rPr>
              <w:t>[●]</w:t>
            </w:r>
          </w:p>
        </w:tc>
      </w:tr>
    </w:tbl>
    <w:p w:rsidR="000F20F4" w:rsidRDefault="000F20F4">
      <w:pPr>
        <w:spacing w:after="0"/>
      </w:pPr>
    </w:p>
    <w:p w:rsidR="000F20F4" w:rsidRDefault="008B410B">
      <w:pPr>
        <w:keepNext/>
        <w:spacing w:before="80" w:after="0"/>
        <w:jc w:val="right"/>
      </w:pPr>
      <w:r>
        <w:t>[Tarih]</w:t>
      </w:r>
    </w:p>
    <w:p w:rsidR="000F20F4" w:rsidRDefault="008B410B">
      <w:pPr>
        <w:keepNext/>
        <w:spacing w:after="0"/>
        <w:jc w:val="right"/>
      </w:pPr>
      <w:r>
        <w:rPr>
          <w:b/>
        </w:rPr>
        <w:t>İHTAR EDEN</w:t>
      </w:r>
    </w:p>
    <w:p w:rsidR="000F20F4" w:rsidRDefault="008B410B">
      <w:pPr>
        <w:keepNext/>
        <w:spacing w:after="0"/>
        <w:jc w:val="right"/>
      </w:pPr>
      <w:r>
        <w:t>[Adı Soyadı]</w:t>
      </w:r>
    </w:p>
    <w:p w:rsidR="000F20F4" w:rsidRDefault="008B410B">
      <w:pPr>
        <w:jc w:val="right"/>
      </w:pPr>
      <w:r>
        <w:rPr>
          <w:color w:val="5A5957"/>
        </w:rPr>
        <w:t>[İmza]</w:t>
      </w:r>
    </w:p>
    <w:p w:rsidR="000F20F4" w:rsidRDefault="008B410B">
      <w:pPr>
        <w:spacing w:after="40"/>
      </w:pPr>
      <w:r>
        <w:rPr>
          <w:b/>
        </w:rPr>
        <w:t>Ekler:</w:t>
      </w:r>
    </w:p>
    <w:p w:rsidR="000F20F4" w:rsidRDefault="008B410B">
      <w:pPr>
        <w:spacing w:after="20"/>
        <w:jc w:val="left"/>
      </w:pPr>
      <w:r>
        <w:t>Ek-1: Alım dekontları ve hesap ekstresi</w:t>
      </w:r>
    </w:p>
    <w:p w:rsidR="000F20F4" w:rsidRDefault="008B410B">
      <w:pPr>
        <w:spacing w:after="20"/>
        <w:jc w:val="left"/>
      </w:pPr>
      <w:r>
        <w:t>Ek-2: İade talimatı kaydı (varsa)</w:t>
      </w:r>
    </w:p>
    <w:p w:rsidR="000F20F4" w:rsidRDefault="008B410B">
      <w:pPr>
        <w:spacing w:after="20"/>
        <w:jc w:val="left"/>
      </w:pPr>
      <w:r>
        <w:t xml:space="preserve">Ek-3: Zarar hesap </w:t>
      </w:r>
      <w:r>
        <w:t>tablosu</w:t>
      </w:r>
    </w:p>
    <w:p w:rsidR="000F20F4" w:rsidRDefault="008B410B">
      <w:pPr>
        <w:spacing w:after="20"/>
        <w:jc w:val="left"/>
      </w:pPr>
      <w:r>
        <w:t>Ek-4: Vekâletname (vekil aracılığıyla gönderilirse)</w:t>
      </w:r>
    </w:p>
    <w:p w:rsidR="000F20F4" w:rsidRDefault="008B410B">
      <w:pPr>
        <w:keepNext/>
        <w:pBdr>
          <w:bottom w:val="single" w:sz="6" w:space="1" w:color="0C4E54"/>
        </w:pBdr>
        <w:spacing w:before="240"/>
      </w:pPr>
      <w:r>
        <w:rPr>
          <w:b/>
          <w:color w:val="0C4E54"/>
          <w:sz w:val="23"/>
        </w:rPr>
        <w:t>SAYIN NOTER</w:t>
      </w:r>
    </w:p>
    <w:p w:rsidR="000F20F4" w:rsidRDefault="008B410B">
      <w:r>
        <w:t>[Muhatap sayısı + 2] nüshadan ibaret işbu ihtarnamenin birer nüshasının muhataplara tebliğini, bir nüshasının dairenizde saklanmasını ve tebliğ şerhini içeren bir nüshasının tarafıma v</w:t>
      </w:r>
      <w:r>
        <w:t>erilmesini rica ederim.</w:t>
      </w:r>
    </w:p>
    <w:p w:rsidR="000F20F4" w:rsidRDefault="000F20F4" w:rsidP="00E040F2"/>
    <w:p w:rsidR="00E040F2" w:rsidRDefault="00E040F2" w:rsidP="00E040F2"/>
    <w:p w:rsidR="00E040F2" w:rsidRPr="00E040F2" w:rsidRDefault="00E040F2" w:rsidP="00E040F2">
      <w:pPr>
        <w:rPr>
          <w:i/>
        </w:rPr>
      </w:pPr>
      <w:proofErr w:type="gramStart"/>
      <w:r>
        <w:rPr>
          <w:i/>
        </w:rPr>
        <w:t>*</w:t>
      </w:r>
      <w:bookmarkStart w:id="0" w:name="_GoBack"/>
      <w:bookmarkEnd w:id="0"/>
      <w:proofErr w:type="spellStart"/>
      <w:r w:rsidRPr="00E040F2">
        <w:rPr>
          <w:i/>
        </w:rPr>
        <w:t>İş</w:t>
      </w:r>
      <w:proofErr w:type="spellEnd"/>
      <w:r w:rsidRPr="00E040F2">
        <w:rPr>
          <w:i/>
        </w:rPr>
        <w:t xml:space="preserve"> </w:t>
      </w:r>
      <w:proofErr w:type="spellStart"/>
      <w:r w:rsidRPr="00E040F2">
        <w:rPr>
          <w:i/>
        </w:rPr>
        <w:t>bu</w:t>
      </w:r>
      <w:proofErr w:type="spellEnd"/>
      <w:r w:rsidRPr="00E040F2">
        <w:rPr>
          <w:i/>
        </w:rPr>
        <w:t xml:space="preserve"> </w:t>
      </w:r>
      <w:proofErr w:type="spellStart"/>
      <w:r w:rsidRPr="00E040F2">
        <w:rPr>
          <w:i/>
        </w:rPr>
        <w:t>ihtarname</w:t>
      </w:r>
      <w:proofErr w:type="spellEnd"/>
      <w:r w:rsidRPr="00E040F2">
        <w:rPr>
          <w:i/>
        </w:rPr>
        <w:t xml:space="preserve"> </w:t>
      </w:r>
      <w:proofErr w:type="spellStart"/>
      <w:r w:rsidRPr="00E040F2">
        <w:rPr>
          <w:i/>
        </w:rPr>
        <w:t>taslağı</w:t>
      </w:r>
      <w:proofErr w:type="spellEnd"/>
      <w:r w:rsidRPr="00E040F2">
        <w:rPr>
          <w:i/>
        </w:rPr>
        <w:t xml:space="preserve"> kısmının </w:t>
      </w:r>
      <w:proofErr w:type="spellStart"/>
      <w:r w:rsidRPr="00E040F2">
        <w:rPr>
          <w:i/>
        </w:rPr>
        <w:t>noter</w:t>
      </w:r>
      <w:proofErr w:type="spellEnd"/>
      <w:r w:rsidRPr="00E040F2">
        <w:rPr>
          <w:i/>
        </w:rPr>
        <w:t xml:space="preserve"> </w:t>
      </w:r>
      <w:proofErr w:type="spellStart"/>
      <w:r w:rsidRPr="00E040F2">
        <w:rPr>
          <w:i/>
        </w:rPr>
        <w:t>aracılığı</w:t>
      </w:r>
      <w:proofErr w:type="spellEnd"/>
      <w:r w:rsidRPr="00E040F2">
        <w:rPr>
          <w:i/>
        </w:rPr>
        <w:t xml:space="preserve"> </w:t>
      </w:r>
      <w:proofErr w:type="spellStart"/>
      <w:r w:rsidRPr="00E040F2">
        <w:rPr>
          <w:i/>
        </w:rPr>
        <w:t>ile</w:t>
      </w:r>
      <w:proofErr w:type="spellEnd"/>
      <w:r w:rsidRPr="00E040F2">
        <w:rPr>
          <w:i/>
        </w:rPr>
        <w:t xml:space="preserve"> </w:t>
      </w:r>
      <w:proofErr w:type="spellStart"/>
      <w:r w:rsidRPr="00E040F2">
        <w:rPr>
          <w:i/>
        </w:rPr>
        <w:t>gönderilmeden</w:t>
      </w:r>
      <w:proofErr w:type="spellEnd"/>
      <w:r w:rsidRPr="00E040F2">
        <w:rPr>
          <w:i/>
        </w:rPr>
        <w:t xml:space="preserve"> </w:t>
      </w:r>
      <w:proofErr w:type="spellStart"/>
      <w:r w:rsidRPr="00E040F2">
        <w:rPr>
          <w:i/>
        </w:rPr>
        <w:t>önze</w:t>
      </w:r>
      <w:proofErr w:type="spellEnd"/>
      <w:r w:rsidRPr="00E040F2">
        <w:rPr>
          <w:i/>
        </w:rPr>
        <w:t xml:space="preserve"> </w:t>
      </w:r>
      <w:proofErr w:type="spellStart"/>
      <w:r w:rsidRPr="00E040F2">
        <w:rPr>
          <w:i/>
        </w:rPr>
        <w:t>kendi</w:t>
      </w:r>
      <w:proofErr w:type="spellEnd"/>
      <w:r w:rsidRPr="00E040F2">
        <w:rPr>
          <w:i/>
        </w:rPr>
        <w:t xml:space="preserve"> </w:t>
      </w:r>
      <w:proofErr w:type="spellStart"/>
      <w:r w:rsidRPr="00E040F2">
        <w:rPr>
          <w:i/>
        </w:rPr>
        <w:t>hukuki</w:t>
      </w:r>
      <w:proofErr w:type="spellEnd"/>
      <w:r w:rsidRPr="00E040F2">
        <w:rPr>
          <w:i/>
        </w:rPr>
        <w:t xml:space="preserve"> </w:t>
      </w:r>
      <w:proofErr w:type="spellStart"/>
      <w:r w:rsidRPr="00E040F2">
        <w:rPr>
          <w:i/>
        </w:rPr>
        <w:t>durumuna</w:t>
      </w:r>
      <w:proofErr w:type="spellEnd"/>
      <w:r w:rsidRPr="00E040F2">
        <w:rPr>
          <w:i/>
        </w:rPr>
        <w:t xml:space="preserve"> gore </w:t>
      </w:r>
      <w:proofErr w:type="spellStart"/>
      <w:r w:rsidRPr="00E040F2">
        <w:rPr>
          <w:i/>
        </w:rPr>
        <w:t>yeniden</w:t>
      </w:r>
      <w:proofErr w:type="spellEnd"/>
      <w:r w:rsidRPr="00E040F2">
        <w:rPr>
          <w:i/>
        </w:rPr>
        <w:t xml:space="preserve"> </w:t>
      </w:r>
      <w:proofErr w:type="spellStart"/>
      <w:r w:rsidRPr="00E040F2">
        <w:rPr>
          <w:i/>
        </w:rPr>
        <w:t>düzenlenmelidir</w:t>
      </w:r>
      <w:proofErr w:type="spellEnd"/>
      <w:r w:rsidRPr="00E040F2">
        <w:rPr>
          <w:i/>
        </w:rPr>
        <w:t>.</w:t>
      </w:r>
      <w:proofErr w:type="gramEnd"/>
    </w:p>
    <w:sectPr w:rsidR="00E040F2" w:rsidRPr="00E040F2" w:rsidSect="00034616">
      <w:footerReference w:type="default" r:id="rId9"/>
      <w:pgSz w:w="11906" w:h="16838"/>
      <w:pgMar w:top="1247" w:right="1247" w:bottom="1134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410B" w:rsidRDefault="008B410B">
      <w:pPr>
        <w:spacing w:after="0" w:line="240" w:lineRule="auto"/>
      </w:pPr>
      <w:r>
        <w:separator/>
      </w:r>
    </w:p>
  </w:endnote>
  <w:endnote w:type="continuationSeparator" w:id="0">
    <w:p w:rsidR="008B410B" w:rsidRDefault="008B41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20F4" w:rsidRDefault="008B410B">
    <w:pPr>
      <w:pStyle w:val="Altbilgi"/>
      <w:jc w:val="center"/>
    </w:pPr>
    <w:r>
      <w:rPr>
        <w:color w:val="5A5957"/>
        <w:sz w:val="16"/>
      </w:rPr>
      <w:t xml:space="preserve">İhtarname — Fon Yatırımı Nedeniyle Doğan Zararın Tazmini  |  Hazırlayan: Av. Şahin Baran  |  Sayfa </w:t>
    </w:r>
    <w:r>
      <w:fldChar w:fldCharType="begin"/>
    </w:r>
    <w:r>
      <w:instrText>PAGE</w:instrText>
    </w:r>
    <w:r>
      <w:fldChar w:fldCharType="separate"/>
    </w:r>
    <w:r w:rsidR="00E040F2">
      <w:rPr>
        <w:noProof/>
      </w:rPr>
      <w:t>3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410B" w:rsidRDefault="008B410B">
      <w:pPr>
        <w:spacing w:after="0" w:line="240" w:lineRule="auto"/>
      </w:pPr>
      <w:r>
        <w:separator/>
      </w:r>
    </w:p>
  </w:footnote>
  <w:footnote w:type="continuationSeparator" w:id="0">
    <w:p w:rsidR="008B410B" w:rsidRDefault="008B410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0F20F4"/>
    <w:rsid w:val="0015074B"/>
    <w:rsid w:val="0029639D"/>
    <w:rsid w:val="00326F90"/>
    <w:rsid w:val="008B410B"/>
    <w:rsid w:val="00AA1D8D"/>
    <w:rsid w:val="00B47730"/>
    <w:rsid w:val="00CB0664"/>
    <w:rsid w:val="00E040F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  <w:jc w:val="both"/>
    </w:pPr>
    <w:rPr>
      <w:rFonts w:ascii="Calibri" w:eastAsia="Calibri" w:hAnsi="Calibri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Trnak">
    <w:name w:val="Quote"/>
    <w:basedOn w:val="Normal"/>
    <w:next w:val="Normal"/>
    <w:link w:val="TrnakChar"/>
    <w:uiPriority w:val="29"/>
    <w:qFormat/>
    <w:rsid w:val="00FC693F"/>
    <w:rPr>
      <w:i/>
      <w:iCs/>
      <w:color w:val="000000" w:themeColor="text1"/>
    </w:rPr>
  </w:style>
  <w:style w:type="character" w:customStyle="1" w:styleId="TrnakChar">
    <w:name w:val="Tırnak Char"/>
    <w:basedOn w:val="VarsaylanParagrafYazTipi"/>
    <w:link w:val="Trnak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KeskinTrnak">
    <w:name w:val="Intense Quote"/>
    <w:basedOn w:val="Normal"/>
    <w:next w:val="Normal"/>
    <w:link w:val="KeskinTrnak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eskinTrnakChar">
    <w:name w:val="Keskin Tırnak Char"/>
    <w:basedOn w:val="VarsaylanParagrafYazTipi"/>
    <w:link w:val="KeskinTrnak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  <w:jc w:val="both"/>
    </w:pPr>
    <w:rPr>
      <w:rFonts w:ascii="Calibri" w:eastAsia="Calibri" w:hAnsi="Calibri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Trnak">
    <w:name w:val="Quote"/>
    <w:basedOn w:val="Normal"/>
    <w:next w:val="Normal"/>
    <w:link w:val="TrnakChar"/>
    <w:uiPriority w:val="29"/>
    <w:qFormat/>
    <w:rsid w:val="00FC693F"/>
    <w:rPr>
      <w:i/>
      <w:iCs/>
      <w:color w:val="000000" w:themeColor="text1"/>
    </w:rPr>
  </w:style>
  <w:style w:type="character" w:customStyle="1" w:styleId="TrnakChar">
    <w:name w:val="Tırnak Char"/>
    <w:basedOn w:val="VarsaylanParagrafYazTipi"/>
    <w:link w:val="Trnak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KeskinTrnak">
    <w:name w:val="Intense Quote"/>
    <w:basedOn w:val="Normal"/>
    <w:next w:val="Normal"/>
    <w:link w:val="KeskinTrnak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eskinTrnakChar">
    <w:name w:val="Keskin Tırnak Char"/>
    <w:basedOn w:val="VarsaylanParagrafYazTipi"/>
    <w:link w:val="KeskinTrnak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7465481-3366-4DF2-BAF3-15F1B120C5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1043</Words>
  <Characters>5948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6978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Macbook</cp:lastModifiedBy>
  <cp:revision>2</cp:revision>
  <dcterms:created xsi:type="dcterms:W3CDTF">2013-12-23T23:15:00Z</dcterms:created>
  <dcterms:modified xsi:type="dcterms:W3CDTF">2026-09-23T12:34:00Z</dcterms:modified>
  <cp:category/>
</cp:coreProperties>
</file>