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FE" w:rsidRDefault="00BA17FE">
      <w:pPr>
        <w:spacing w:after="0"/>
        <w:jc w:val="center"/>
        <w:rPr>
          <w:b/>
          <w:color w:val="0C4E54"/>
          <w:sz w:val="25"/>
        </w:rPr>
      </w:pPr>
      <w:r>
        <w:rPr>
          <w:b/>
          <w:color w:val="0C4E54"/>
          <w:sz w:val="25"/>
        </w:rPr>
        <w:tab/>
      </w:r>
      <w:r>
        <w:rPr>
          <w:b/>
          <w:color w:val="0C4E54"/>
          <w:sz w:val="25"/>
        </w:rPr>
        <w:tab/>
      </w:r>
      <w:r>
        <w:rPr>
          <w:b/>
          <w:color w:val="0C4E54"/>
          <w:sz w:val="25"/>
        </w:rPr>
        <w:tab/>
      </w:r>
      <w:r>
        <w:rPr>
          <w:b/>
          <w:color w:val="0C4E54"/>
          <w:sz w:val="25"/>
        </w:rPr>
        <w:tab/>
      </w:r>
      <w:r>
        <w:rPr>
          <w:b/>
          <w:color w:val="0C4E54"/>
          <w:sz w:val="25"/>
        </w:rPr>
        <w:tab/>
      </w:r>
      <w:r>
        <w:rPr>
          <w:b/>
          <w:color w:val="0C4E54"/>
          <w:sz w:val="25"/>
        </w:rPr>
        <w:tab/>
      </w:r>
      <w:r>
        <w:rPr>
          <w:b/>
          <w:color w:val="0C4E54"/>
          <w:sz w:val="25"/>
        </w:rPr>
        <w:tab/>
        <w:t xml:space="preserve">          </w:t>
      </w:r>
      <w:bookmarkStart w:id="0" w:name="_GoBack"/>
      <w:bookmarkEnd w:id="0"/>
      <w:r w:rsidRPr="00BA17FE">
        <w:rPr>
          <w:b/>
          <w:color w:val="FF0000"/>
          <w:sz w:val="25"/>
        </w:rPr>
        <w:t>DİLEKÇE</w:t>
      </w:r>
      <w:r>
        <w:rPr>
          <w:b/>
          <w:color w:val="FF0000"/>
          <w:sz w:val="25"/>
        </w:rPr>
        <w:t xml:space="preserve"> ÖRNEĞİDİR</w:t>
      </w:r>
    </w:p>
    <w:p w:rsidR="00C36049" w:rsidRDefault="00AD6E7E">
      <w:pPr>
        <w:spacing w:after="0"/>
        <w:jc w:val="center"/>
      </w:pPr>
      <w:r>
        <w:rPr>
          <w:b/>
          <w:color w:val="0C4E54"/>
          <w:sz w:val="25"/>
        </w:rPr>
        <w:t>SERMAYE PİYASASI KURULU BAŞKANLIĞI’NA</w:t>
      </w:r>
    </w:p>
    <w:p w:rsidR="00C36049" w:rsidRDefault="00AD6E7E">
      <w:pPr>
        <w:spacing w:after="40"/>
        <w:jc w:val="center"/>
      </w:pPr>
      <w:r>
        <w:rPr>
          <w:color w:val="5A5957"/>
          <w:sz w:val="19"/>
        </w:rPr>
        <w:t>Mustafa Kemal Mahallesi, Dumlupınar Bulvarı (Eskişehir Yolu) No:156, 06530 Çankaya / ANKARA</w:t>
      </w:r>
    </w:p>
    <w:p w:rsidR="00C36049" w:rsidRDefault="00AD6E7E">
      <w:pPr>
        <w:spacing w:after="200"/>
        <w:jc w:val="center"/>
      </w:pPr>
      <w:r>
        <w:rPr>
          <w:b/>
        </w:rPr>
        <w:t>ŞİKÂYET, İHBAR, İNCELEME VE DENETİM TALEBİ</w:t>
      </w:r>
    </w:p>
    <w:tbl>
      <w:tblPr>
        <w:tblStyle w:val="TabloKlavuzu"/>
        <w:tblW w:w="0" w:type="auto"/>
        <w:jc w:val="center"/>
        <w:tblLayout w:type="fixed"/>
        <w:tblLook w:val="04A0" w:firstRow="1" w:lastRow="0" w:firstColumn="1" w:lastColumn="0" w:noHBand="0" w:noVBand="1"/>
      </w:tblPr>
      <w:tblGrid>
        <w:gridCol w:w="2438"/>
        <w:gridCol w:w="6803"/>
      </w:tblGrid>
      <w:tr w:rsidR="00C36049">
        <w:trPr>
          <w:jc w:val="center"/>
        </w:trPr>
        <w:tc>
          <w:tcPr>
            <w:tcW w:w="2438" w:type="dxa"/>
            <w:shd w:val="clear" w:color="auto" w:fill="EEF3F3"/>
          </w:tcPr>
          <w:p w:rsidR="00C36049" w:rsidRDefault="00AD6E7E">
            <w:pPr>
              <w:spacing w:after="20" w:line="252" w:lineRule="auto"/>
              <w:jc w:val="left"/>
            </w:pPr>
            <w:r>
              <w:rPr>
                <w:b/>
                <w:color w:val="0C4E54"/>
                <w:sz w:val="20"/>
              </w:rPr>
              <w:t>BAŞVURAN</w:t>
            </w:r>
            <w:r>
              <w:rPr>
                <w:b/>
                <w:color w:val="0C4E54"/>
                <w:sz w:val="20"/>
              </w:rPr>
              <w:br/>
              <w:t>(Şikâyetçi)</w:t>
            </w:r>
          </w:p>
        </w:tc>
        <w:tc>
          <w:tcPr>
            <w:tcW w:w="6803" w:type="dxa"/>
          </w:tcPr>
          <w:p w:rsidR="00C36049" w:rsidRDefault="00AD6E7E">
            <w:pPr>
              <w:spacing w:after="20" w:line="252" w:lineRule="auto"/>
              <w:jc w:val="left"/>
            </w:pPr>
            <w:r>
              <w:rPr>
                <w:sz w:val="20"/>
              </w:rPr>
              <w:t>Adı Soyadı: [●]</w:t>
            </w:r>
            <w:r>
              <w:rPr>
                <w:sz w:val="20"/>
              </w:rPr>
              <w:br/>
              <w:t>T.C. Kimlik No: [●]</w:t>
            </w:r>
            <w:r>
              <w:rPr>
                <w:sz w:val="20"/>
              </w:rPr>
              <w:br/>
              <w:t>Adres: [●]</w:t>
            </w:r>
            <w:r>
              <w:rPr>
                <w:sz w:val="20"/>
              </w:rPr>
              <w:br/>
              <w:t xml:space="preserve">Telefon / </w:t>
            </w:r>
            <w:r>
              <w:rPr>
                <w:sz w:val="20"/>
              </w:rPr>
              <w:t>E-posta: [●]</w:t>
            </w:r>
          </w:p>
        </w:tc>
      </w:tr>
      <w:tr w:rsidR="00C36049">
        <w:trPr>
          <w:jc w:val="center"/>
        </w:trPr>
        <w:tc>
          <w:tcPr>
            <w:tcW w:w="2438" w:type="dxa"/>
            <w:shd w:val="clear" w:color="auto" w:fill="EEF3F3"/>
          </w:tcPr>
          <w:p w:rsidR="00C36049" w:rsidRDefault="00AD6E7E">
            <w:pPr>
              <w:spacing w:after="20" w:line="252" w:lineRule="auto"/>
              <w:jc w:val="left"/>
            </w:pPr>
            <w:r>
              <w:rPr>
                <w:b/>
                <w:color w:val="0C4E54"/>
                <w:sz w:val="20"/>
              </w:rPr>
              <w:t>VEKİLİ</w:t>
            </w:r>
          </w:p>
        </w:tc>
        <w:tc>
          <w:tcPr>
            <w:tcW w:w="6803" w:type="dxa"/>
          </w:tcPr>
          <w:p w:rsidR="00C36049" w:rsidRDefault="00BA17FE">
            <w:pPr>
              <w:spacing w:after="20" w:line="252" w:lineRule="auto"/>
              <w:jc w:val="left"/>
            </w:pPr>
            <w:r>
              <w:rPr>
                <w:sz w:val="20"/>
              </w:rPr>
              <w:t>Av. …………..</w:t>
            </w:r>
            <w:r w:rsidR="00AD6E7E">
              <w:rPr>
                <w:sz w:val="20"/>
              </w:rPr>
              <w:t xml:space="preserve"> — [●] Barosu, Sicil No: [●]</w:t>
            </w:r>
            <w:r w:rsidR="00AD6E7E">
              <w:rPr>
                <w:sz w:val="20"/>
              </w:rPr>
              <w:br/>
              <w:t>Adres: [●]  |  KEP: [●]</w:t>
            </w:r>
          </w:p>
        </w:tc>
      </w:tr>
      <w:tr w:rsidR="00C36049">
        <w:trPr>
          <w:jc w:val="center"/>
        </w:trPr>
        <w:tc>
          <w:tcPr>
            <w:tcW w:w="2438" w:type="dxa"/>
            <w:shd w:val="clear" w:color="auto" w:fill="EEF3F3"/>
          </w:tcPr>
          <w:p w:rsidR="00C36049" w:rsidRDefault="00AD6E7E">
            <w:pPr>
              <w:spacing w:after="20" w:line="252" w:lineRule="auto"/>
              <w:jc w:val="left"/>
            </w:pPr>
            <w:r>
              <w:rPr>
                <w:b/>
                <w:color w:val="0C4E54"/>
                <w:sz w:val="20"/>
              </w:rPr>
              <w:t>ŞİKÂYET EDİLENLER</w:t>
            </w:r>
          </w:p>
        </w:tc>
        <w:tc>
          <w:tcPr>
            <w:tcW w:w="6803" w:type="dxa"/>
          </w:tcPr>
          <w:p w:rsidR="00C36049" w:rsidRDefault="00AD6E7E">
            <w:pPr>
              <w:spacing w:after="20" w:line="252" w:lineRule="auto"/>
              <w:jc w:val="left"/>
            </w:pPr>
            <w:r>
              <w:rPr>
                <w:sz w:val="20"/>
              </w:rPr>
              <w:t>1) [●] Portföy Yönetimi A.Ş. (kurucu), yönetim kurulu üyeleri, genel müdürü ve fon yöneticileri</w:t>
            </w:r>
            <w:r>
              <w:rPr>
                <w:sz w:val="20"/>
              </w:rPr>
              <w:br/>
              <w:t>2) [●] (fonun portföy saklayıcısı)</w:t>
            </w:r>
            <w:r>
              <w:rPr>
                <w:sz w:val="20"/>
              </w:rPr>
              <w:br/>
              <w:t>3) [●] (katılma p</w:t>
            </w:r>
            <w:r>
              <w:rPr>
                <w:sz w:val="20"/>
              </w:rPr>
              <w:t>ayını satan dağıtıcı kuruluş)</w:t>
            </w:r>
            <w:r>
              <w:rPr>
                <w:sz w:val="20"/>
              </w:rPr>
              <w:br/>
              <w:t>4) Fonla işlem yapan ve incelemede tespit edilecek ilişkili gerçek ve tüzel kişiler</w:t>
            </w:r>
          </w:p>
        </w:tc>
      </w:tr>
      <w:tr w:rsidR="00C36049">
        <w:trPr>
          <w:jc w:val="center"/>
        </w:trPr>
        <w:tc>
          <w:tcPr>
            <w:tcW w:w="2438" w:type="dxa"/>
            <w:shd w:val="clear" w:color="auto" w:fill="EEF3F3"/>
          </w:tcPr>
          <w:p w:rsidR="00C36049" w:rsidRDefault="00AD6E7E">
            <w:pPr>
              <w:spacing w:after="20" w:line="252" w:lineRule="auto"/>
              <w:jc w:val="left"/>
            </w:pPr>
            <w:r>
              <w:rPr>
                <w:b/>
                <w:color w:val="0C4E54"/>
                <w:sz w:val="20"/>
              </w:rPr>
              <w:t>İLGİLİ FON</w:t>
            </w:r>
          </w:p>
        </w:tc>
        <w:tc>
          <w:tcPr>
            <w:tcW w:w="6803" w:type="dxa"/>
          </w:tcPr>
          <w:p w:rsidR="00C36049" w:rsidRDefault="00AD6E7E">
            <w:pPr>
              <w:spacing w:after="20" w:line="252" w:lineRule="auto"/>
              <w:jc w:val="left"/>
            </w:pPr>
            <w:r>
              <w:rPr>
                <w:sz w:val="20"/>
              </w:rPr>
              <w:t>Fonun tam adı: [●]</w:t>
            </w:r>
            <w:r>
              <w:rPr>
                <w:sz w:val="20"/>
              </w:rPr>
              <w:br/>
              <w:t>TEFAS kodu: [●]</w:t>
            </w:r>
            <w:r>
              <w:rPr>
                <w:sz w:val="20"/>
              </w:rPr>
              <w:br/>
              <w:t>Fon türü: [●]</w:t>
            </w:r>
          </w:p>
        </w:tc>
      </w:tr>
      <w:tr w:rsidR="00C36049">
        <w:trPr>
          <w:jc w:val="center"/>
        </w:trPr>
        <w:tc>
          <w:tcPr>
            <w:tcW w:w="2438" w:type="dxa"/>
            <w:shd w:val="clear" w:color="auto" w:fill="EEF3F3"/>
          </w:tcPr>
          <w:p w:rsidR="00C36049" w:rsidRDefault="00AD6E7E">
            <w:pPr>
              <w:spacing w:after="20" w:line="252" w:lineRule="auto"/>
              <w:jc w:val="left"/>
            </w:pPr>
            <w:r>
              <w:rPr>
                <w:b/>
                <w:color w:val="0C4E54"/>
                <w:sz w:val="20"/>
              </w:rPr>
              <w:t>KONU</w:t>
            </w:r>
          </w:p>
        </w:tc>
        <w:tc>
          <w:tcPr>
            <w:tcW w:w="6803" w:type="dxa"/>
          </w:tcPr>
          <w:p w:rsidR="00C36049" w:rsidRDefault="00AD6E7E">
            <w:pPr>
              <w:spacing w:after="20" w:line="252" w:lineRule="auto"/>
              <w:jc w:val="left"/>
            </w:pPr>
            <w:r>
              <w:rPr>
                <w:sz w:val="20"/>
              </w:rPr>
              <w:t>Fonun yönetimi, portföy işlemleri, değerlemesi, likidite yönetimi, iade işl</w:t>
            </w:r>
            <w:r>
              <w:rPr>
                <w:sz w:val="20"/>
              </w:rPr>
              <w:t>emleri ve ilişkili taraf işlemlerinin 6362 sayılı Sermaye Piyasası Kanunu ve ikincil mevzuata uygunluğunun incelenmesi; aykırılık tespiti hâlinde idari yaptırım uygulanması ve SPKn m.115 uyarınca Cumhuriyet Başsavcılığına yazılı başvuruda bulunulması taleb</w:t>
            </w:r>
            <w:r>
              <w:rPr>
                <w:sz w:val="20"/>
              </w:rPr>
              <w:t>idir.</w:t>
            </w:r>
          </w:p>
        </w:tc>
      </w:tr>
    </w:tbl>
    <w:p w:rsidR="00C36049" w:rsidRDefault="00C36049">
      <w:pPr>
        <w:spacing w:after="0"/>
      </w:pPr>
    </w:p>
    <w:p w:rsidR="00C36049" w:rsidRDefault="00AD6E7E">
      <w:pPr>
        <w:keepNext/>
        <w:pBdr>
          <w:bottom w:val="single" w:sz="6" w:space="1" w:color="0C4E54"/>
        </w:pBdr>
        <w:spacing w:before="240"/>
      </w:pPr>
      <w:r>
        <w:rPr>
          <w:b/>
          <w:color w:val="0C4E54"/>
          <w:sz w:val="23"/>
        </w:rPr>
        <w:t>I. BAŞVURUNUN AMACI</w:t>
      </w:r>
    </w:p>
    <w:p w:rsidR="00C36049" w:rsidRDefault="00AD6E7E">
      <w:r>
        <w:t xml:space="preserve">Bu başvuru, Kurulunuzdan doğrudan tazminat talebi içermemektedir. Başvurunun amacı; fonun yönetiminde sermaye piyasası mevzuatına aykırılık bulunup bulunmadığının Kurulunuzun denetim yetkisi çerçevesinde resmen tespit edilmesi, </w:t>
      </w:r>
      <w:r>
        <w:t>ilgili kayıtların güvence altına alınması, aykırılık hâlinde idari yaptırımların uygulanması ve suç oluşturan fiiller bakımından Cumhuriyet Başsavcılığına bildirimde bulunulmasıdır. SPKn m.115 uyarınca Kanunun 106 ila 114. maddelerinde düzenlenen suçlardan</w:t>
      </w:r>
      <w:r>
        <w:t xml:space="preserve"> soruşturma, Kurulun yazılı başvurusuna bağlı olduğundan Kurulunuzun tespit ve bildirimi, müvekkilin hak arama sürecinde belirleyicidir.</w:t>
      </w:r>
    </w:p>
    <w:p w:rsidR="00C36049" w:rsidRDefault="00AD6E7E">
      <w:pPr>
        <w:keepNext/>
        <w:pBdr>
          <w:bottom w:val="single" w:sz="6" w:space="1" w:color="0C4E54"/>
        </w:pBdr>
        <w:spacing w:before="240"/>
      </w:pPr>
      <w:r>
        <w:rPr>
          <w:b/>
          <w:color w:val="0C4E54"/>
          <w:sz w:val="23"/>
        </w:rPr>
        <w:t>II. AÇIKLAMALAR</w:t>
      </w:r>
    </w:p>
    <w:p w:rsidR="00C36049" w:rsidRDefault="00AD6E7E">
      <w:pPr>
        <w:keepNext/>
        <w:spacing w:after="60"/>
      </w:pPr>
      <w:r>
        <w:rPr>
          <w:b/>
          <w:color w:val="0C4E54"/>
        </w:rPr>
        <w:t>1. Müvekkilin yatırımı</w:t>
      </w:r>
    </w:p>
    <w:tbl>
      <w:tblPr>
        <w:tblStyle w:val="TabloKlavuzu"/>
        <w:tblW w:w="0" w:type="auto"/>
        <w:jc w:val="center"/>
        <w:tblLayout w:type="fixed"/>
        <w:tblLook w:val="04A0" w:firstRow="1" w:lastRow="0" w:firstColumn="1" w:lastColumn="0" w:noHBand="0" w:noVBand="1"/>
      </w:tblPr>
      <w:tblGrid>
        <w:gridCol w:w="1474"/>
        <w:gridCol w:w="2494"/>
        <w:gridCol w:w="1417"/>
        <w:gridCol w:w="1984"/>
        <w:gridCol w:w="1871"/>
      </w:tblGrid>
      <w:tr w:rsidR="00C36049">
        <w:trPr>
          <w:jc w:val="center"/>
        </w:trPr>
        <w:tc>
          <w:tcPr>
            <w:tcW w:w="1474" w:type="dxa"/>
            <w:shd w:val="clear" w:color="auto" w:fill="0C4E54"/>
          </w:tcPr>
          <w:p w:rsidR="00C36049" w:rsidRDefault="00AD6E7E">
            <w:r>
              <w:rPr>
                <w:b/>
                <w:color w:val="FFFFFF"/>
                <w:sz w:val="19"/>
              </w:rPr>
              <w:t>Tarih</w:t>
            </w:r>
          </w:p>
        </w:tc>
        <w:tc>
          <w:tcPr>
            <w:tcW w:w="2494" w:type="dxa"/>
            <w:shd w:val="clear" w:color="auto" w:fill="0C4E54"/>
          </w:tcPr>
          <w:p w:rsidR="00C36049" w:rsidRDefault="00AD6E7E">
            <w:r>
              <w:rPr>
                <w:b/>
                <w:color w:val="FFFFFF"/>
                <w:sz w:val="19"/>
              </w:rPr>
              <w:t>İşlem</w:t>
            </w:r>
          </w:p>
        </w:tc>
        <w:tc>
          <w:tcPr>
            <w:tcW w:w="1417" w:type="dxa"/>
            <w:shd w:val="clear" w:color="auto" w:fill="0C4E54"/>
          </w:tcPr>
          <w:p w:rsidR="00C36049" w:rsidRDefault="00AD6E7E">
            <w:r>
              <w:rPr>
                <w:b/>
                <w:color w:val="FFFFFF"/>
                <w:sz w:val="19"/>
              </w:rPr>
              <w:t>Pay adedi</w:t>
            </w:r>
          </w:p>
        </w:tc>
        <w:tc>
          <w:tcPr>
            <w:tcW w:w="1984" w:type="dxa"/>
            <w:shd w:val="clear" w:color="auto" w:fill="0C4E54"/>
          </w:tcPr>
          <w:p w:rsidR="00C36049" w:rsidRDefault="00AD6E7E">
            <w:r>
              <w:rPr>
                <w:b/>
                <w:color w:val="FFFFFF"/>
                <w:sz w:val="19"/>
              </w:rPr>
              <w:t>Birim pay değeri (TL)</w:t>
            </w:r>
          </w:p>
        </w:tc>
        <w:tc>
          <w:tcPr>
            <w:tcW w:w="1871" w:type="dxa"/>
            <w:shd w:val="clear" w:color="auto" w:fill="0C4E54"/>
          </w:tcPr>
          <w:p w:rsidR="00C36049" w:rsidRDefault="00AD6E7E">
            <w:r>
              <w:rPr>
                <w:b/>
                <w:color w:val="FFFFFF"/>
                <w:sz w:val="19"/>
              </w:rPr>
              <w:t>Tutar (TL)</w:t>
            </w:r>
          </w:p>
        </w:tc>
      </w:tr>
      <w:tr w:rsidR="00C36049">
        <w:trPr>
          <w:jc w:val="center"/>
        </w:trPr>
        <w:tc>
          <w:tcPr>
            <w:tcW w:w="1474" w:type="dxa"/>
          </w:tcPr>
          <w:p w:rsidR="00C36049" w:rsidRDefault="00AD6E7E">
            <w:pPr>
              <w:spacing w:after="20" w:line="252" w:lineRule="auto"/>
              <w:jc w:val="left"/>
            </w:pPr>
            <w:r>
              <w:rPr>
                <w:sz w:val="19"/>
              </w:rPr>
              <w:t>[●]</w:t>
            </w:r>
          </w:p>
        </w:tc>
        <w:tc>
          <w:tcPr>
            <w:tcW w:w="2494" w:type="dxa"/>
          </w:tcPr>
          <w:p w:rsidR="00C36049" w:rsidRDefault="00AD6E7E">
            <w:pPr>
              <w:spacing w:after="20" w:line="252" w:lineRule="auto"/>
              <w:jc w:val="left"/>
            </w:pPr>
            <w:r>
              <w:rPr>
                <w:sz w:val="19"/>
              </w:rPr>
              <w:t>Alım</w:t>
            </w:r>
          </w:p>
        </w:tc>
        <w:tc>
          <w:tcPr>
            <w:tcW w:w="1417" w:type="dxa"/>
          </w:tcPr>
          <w:p w:rsidR="00C36049" w:rsidRDefault="00AD6E7E">
            <w:pPr>
              <w:spacing w:after="20" w:line="252" w:lineRule="auto"/>
              <w:jc w:val="left"/>
            </w:pPr>
            <w:r>
              <w:rPr>
                <w:sz w:val="19"/>
              </w:rPr>
              <w:t>[●]</w:t>
            </w:r>
          </w:p>
        </w:tc>
        <w:tc>
          <w:tcPr>
            <w:tcW w:w="1984" w:type="dxa"/>
          </w:tcPr>
          <w:p w:rsidR="00C36049" w:rsidRDefault="00AD6E7E">
            <w:pPr>
              <w:spacing w:after="20" w:line="252" w:lineRule="auto"/>
              <w:jc w:val="left"/>
            </w:pPr>
            <w:r>
              <w:rPr>
                <w:sz w:val="19"/>
              </w:rPr>
              <w:t>[●]</w:t>
            </w:r>
          </w:p>
        </w:tc>
        <w:tc>
          <w:tcPr>
            <w:tcW w:w="1871" w:type="dxa"/>
          </w:tcPr>
          <w:p w:rsidR="00C36049" w:rsidRDefault="00AD6E7E">
            <w:pPr>
              <w:spacing w:after="20" w:line="252" w:lineRule="auto"/>
              <w:jc w:val="left"/>
            </w:pPr>
            <w:r>
              <w:rPr>
                <w:sz w:val="19"/>
              </w:rPr>
              <w:t>[●]</w:t>
            </w:r>
          </w:p>
        </w:tc>
      </w:tr>
      <w:tr w:rsidR="00C36049">
        <w:trPr>
          <w:jc w:val="center"/>
        </w:trPr>
        <w:tc>
          <w:tcPr>
            <w:tcW w:w="1474" w:type="dxa"/>
            <w:shd w:val="clear" w:color="auto" w:fill="F4F7F7"/>
          </w:tcPr>
          <w:p w:rsidR="00C36049" w:rsidRDefault="00AD6E7E">
            <w:pPr>
              <w:spacing w:after="20" w:line="252" w:lineRule="auto"/>
              <w:jc w:val="left"/>
            </w:pPr>
            <w:r>
              <w:rPr>
                <w:sz w:val="19"/>
              </w:rPr>
              <w:t>[●]</w:t>
            </w:r>
          </w:p>
        </w:tc>
        <w:tc>
          <w:tcPr>
            <w:tcW w:w="2494" w:type="dxa"/>
            <w:shd w:val="clear" w:color="auto" w:fill="F4F7F7"/>
          </w:tcPr>
          <w:p w:rsidR="00C36049" w:rsidRDefault="00AD6E7E">
            <w:pPr>
              <w:spacing w:after="20" w:line="252" w:lineRule="auto"/>
              <w:jc w:val="left"/>
            </w:pPr>
            <w:r>
              <w:rPr>
                <w:sz w:val="19"/>
              </w:rPr>
              <w:t>Alım</w:t>
            </w:r>
          </w:p>
        </w:tc>
        <w:tc>
          <w:tcPr>
            <w:tcW w:w="1417" w:type="dxa"/>
            <w:shd w:val="clear" w:color="auto" w:fill="F4F7F7"/>
          </w:tcPr>
          <w:p w:rsidR="00C36049" w:rsidRDefault="00AD6E7E">
            <w:pPr>
              <w:spacing w:after="20" w:line="252" w:lineRule="auto"/>
              <w:jc w:val="left"/>
            </w:pPr>
            <w:r>
              <w:rPr>
                <w:sz w:val="19"/>
              </w:rPr>
              <w:t>[●]</w:t>
            </w:r>
          </w:p>
        </w:tc>
        <w:tc>
          <w:tcPr>
            <w:tcW w:w="1984" w:type="dxa"/>
            <w:shd w:val="clear" w:color="auto" w:fill="F4F7F7"/>
          </w:tcPr>
          <w:p w:rsidR="00C36049" w:rsidRDefault="00AD6E7E">
            <w:pPr>
              <w:spacing w:after="20" w:line="252" w:lineRule="auto"/>
              <w:jc w:val="left"/>
            </w:pPr>
            <w:r>
              <w:rPr>
                <w:sz w:val="19"/>
              </w:rPr>
              <w:t>[●]</w:t>
            </w:r>
          </w:p>
        </w:tc>
        <w:tc>
          <w:tcPr>
            <w:tcW w:w="1871" w:type="dxa"/>
            <w:shd w:val="clear" w:color="auto" w:fill="F4F7F7"/>
          </w:tcPr>
          <w:p w:rsidR="00C36049" w:rsidRDefault="00AD6E7E">
            <w:pPr>
              <w:spacing w:after="20" w:line="252" w:lineRule="auto"/>
              <w:jc w:val="left"/>
            </w:pPr>
            <w:r>
              <w:rPr>
                <w:sz w:val="19"/>
              </w:rPr>
              <w:t>[●]</w:t>
            </w:r>
          </w:p>
        </w:tc>
      </w:tr>
      <w:tr w:rsidR="00C36049">
        <w:trPr>
          <w:jc w:val="center"/>
        </w:trPr>
        <w:tc>
          <w:tcPr>
            <w:tcW w:w="1474" w:type="dxa"/>
          </w:tcPr>
          <w:p w:rsidR="00C36049" w:rsidRDefault="00AD6E7E">
            <w:pPr>
              <w:spacing w:after="20" w:line="252" w:lineRule="auto"/>
              <w:jc w:val="left"/>
            </w:pPr>
            <w:r>
              <w:rPr>
                <w:sz w:val="19"/>
              </w:rPr>
              <w:t>[●]</w:t>
            </w:r>
          </w:p>
        </w:tc>
        <w:tc>
          <w:tcPr>
            <w:tcW w:w="2494" w:type="dxa"/>
          </w:tcPr>
          <w:p w:rsidR="00C36049" w:rsidRDefault="00AD6E7E">
            <w:pPr>
              <w:spacing w:after="20" w:line="252" w:lineRule="auto"/>
              <w:jc w:val="left"/>
            </w:pPr>
            <w:r>
              <w:rPr>
                <w:sz w:val="19"/>
              </w:rPr>
              <w:t>İade talimatı</w:t>
            </w:r>
          </w:p>
        </w:tc>
        <w:tc>
          <w:tcPr>
            <w:tcW w:w="1417" w:type="dxa"/>
          </w:tcPr>
          <w:p w:rsidR="00C36049" w:rsidRDefault="00AD6E7E">
            <w:pPr>
              <w:spacing w:after="20" w:line="252" w:lineRule="auto"/>
              <w:jc w:val="left"/>
            </w:pPr>
            <w:r>
              <w:rPr>
                <w:sz w:val="19"/>
              </w:rPr>
              <w:t>[●]</w:t>
            </w:r>
          </w:p>
        </w:tc>
        <w:tc>
          <w:tcPr>
            <w:tcW w:w="1984" w:type="dxa"/>
          </w:tcPr>
          <w:p w:rsidR="00C36049" w:rsidRDefault="00AD6E7E">
            <w:pPr>
              <w:spacing w:after="20" w:line="252" w:lineRule="auto"/>
              <w:jc w:val="left"/>
            </w:pPr>
            <w:r>
              <w:rPr>
                <w:sz w:val="19"/>
              </w:rPr>
              <w:t>[●]</w:t>
            </w:r>
          </w:p>
        </w:tc>
        <w:tc>
          <w:tcPr>
            <w:tcW w:w="1871" w:type="dxa"/>
          </w:tcPr>
          <w:p w:rsidR="00C36049" w:rsidRDefault="00AD6E7E">
            <w:pPr>
              <w:spacing w:after="20" w:line="252" w:lineRule="auto"/>
              <w:jc w:val="left"/>
            </w:pPr>
            <w:r>
              <w:rPr>
                <w:sz w:val="19"/>
              </w:rPr>
              <w:t>[●]</w:t>
            </w:r>
          </w:p>
        </w:tc>
      </w:tr>
      <w:tr w:rsidR="00C36049">
        <w:trPr>
          <w:jc w:val="center"/>
        </w:trPr>
        <w:tc>
          <w:tcPr>
            <w:tcW w:w="1474" w:type="dxa"/>
            <w:shd w:val="clear" w:color="auto" w:fill="F4F7F7"/>
          </w:tcPr>
          <w:p w:rsidR="00C36049" w:rsidRDefault="00C36049">
            <w:pPr>
              <w:spacing w:after="20" w:line="252" w:lineRule="auto"/>
              <w:jc w:val="left"/>
            </w:pPr>
          </w:p>
        </w:tc>
        <w:tc>
          <w:tcPr>
            <w:tcW w:w="2494" w:type="dxa"/>
            <w:shd w:val="clear" w:color="auto" w:fill="F4F7F7"/>
          </w:tcPr>
          <w:p w:rsidR="00C36049" w:rsidRDefault="00AD6E7E">
            <w:pPr>
              <w:spacing w:after="20" w:line="252" w:lineRule="auto"/>
              <w:jc w:val="left"/>
            </w:pPr>
            <w:r>
              <w:rPr>
                <w:sz w:val="19"/>
              </w:rPr>
              <w:t>TOPLAM YATIRIM</w:t>
            </w:r>
          </w:p>
        </w:tc>
        <w:tc>
          <w:tcPr>
            <w:tcW w:w="1417" w:type="dxa"/>
            <w:shd w:val="clear" w:color="auto" w:fill="F4F7F7"/>
          </w:tcPr>
          <w:p w:rsidR="00C36049" w:rsidRDefault="00C36049">
            <w:pPr>
              <w:spacing w:after="20" w:line="252" w:lineRule="auto"/>
              <w:jc w:val="left"/>
            </w:pPr>
          </w:p>
        </w:tc>
        <w:tc>
          <w:tcPr>
            <w:tcW w:w="1984" w:type="dxa"/>
            <w:shd w:val="clear" w:color="auto" w:fill="F4F7F7"/>
          </w:tcPr>
          <w:p w:rsidR="00C36049" w:rsidRDefault="00C36049">
            <w:pPr>
              <w:spacing w:after="20" w:line="252" w:lineRule="auto"/>
              <w:jc w:val="left"/>
            </w:pPr>
          </w:p>
        </w:tc>
        <w:tc>
          <w:tcPr>
            <w:tcW w:w="1871" w:type="dxa"/>
            <w:shd w:val="clear" w:color="auto" w:fill="F4F7F7"/>
          </w:tcPr>
          <w:p w:rsidR="00C36049" w:rsidRDefault="00AD6E7E">
            <w:pPr>
              <w:spacing w:after="20" w:line="252" w:lineRule="auto"/>
              <w:jc w:val="left"/>
            </w:pPr>
            <w:r>
              <w:rPr>
                <w:sz w:val="19"/>
              </w:rPr>
              <w:t>[●]</w:t>
            </w:r>
          </w:p>
        </w:tc>
      </w:tr>
      <w:tr w:rsidR="00C36049">
        <w:trPr>
          <w:jc w:val="center"/>
        </w:trPr>
        <w:tc>
          <w:tcPr>
            <w:tcW w:w="1474" w:type="dxa"/>
          </w:tcPr>
          <w:p w:rsidR="00C36049" w:rsidRDefault="00C36049">
            <w:pPr>
              <w:spacing w:after="20" w:line="252" w:lineRule="auto"/>
              <w:jc w:val="left"/>
            </w:pPr>
          </w:p>
        </w:tc>
        <w:tc>
          <w:tcPr>
            <w:tcW w:w="2494" w:type="dxa"/>
          </w:tcPr>
          <w:p w:rsidR="00C36049" w:rsidRDefault="00AD6E7E">
            <w:pPr>
              <w:spacing w:after="20" w:line="252" w:lineRule="auto"/>
              <w:jc w:val="left"/>
            </w:pPr>
            <w:r>
              <w:rPr>
                <w:sz w:val="19"/>
              </w:rPr>
              <w:t>İLK ZARAR HESABI (Ek-6)</w:t>
            </w:r>
          </w:p>
        </w:tc>
        <w:tc>
          <w:tcPr>
            <w:tcW w:w="1417" w:type="dxa"/>
          </w:tcPr>
          <w:p w:rsidR="00C36049" w:rsidRDefault="00C36049">
            <w:pPr>
              <w:spacing w:after="20" w:line="252" w:lineRule="auto"/>
              <w:jc w:val="left"/>
            </w:pPr>
          </w:p>
        </w:tc>
        <w:tc>
          <w:tcPr>
            <w:tcW w:w="1984" w:type="dxa"/>
          </w:tcPr>
          <w:p w:rsidR="00C36049" w:rsidRDefault="00C36049">
            <w:pPr>
              <w:spacing w:after="20" w:line="252" w:lineRule="auto"/>
              <w:jc w:val="left"/>
            </w:pPr>
          </w:p>
        </w:tc>
        <w:tc>
          <w:tcPr>
            <w:tcW w:w="1871" w:type="dxa"/>
          </w:tcPr>
          <w:p w:rsidR="00C36049" w:rsidRDefault="00AD6E7E">
            <w:pPr>
              <w:spacing w:after="20" w:line="252" w:lineRule="auto"/>
              <w:jc w:val="left"/>
            </w:pPr>
            <w:r>
              <w:rPr>
                <w:sz w:val="19"/>
              </w:rPr>
              <w:t>[●]</w:t>
            </w:r>
          </w:p>
        </w:tc>
      </w:tr>
    </w:tbl>
    <w:p w:rsidR="00C36049" w:rsidRDefault="00C36049">
      <w:pPr>
        <w:spacing w:after="0"/>
      </w:pPr>
    </w:p>
    <w:p w:rsidR="00C36049" w:rsidRDefault="00AD6E7E">
      <w:pPr>
        <w:keepNext/>
        <w:spacing w:after="60"/>
      </w:pPr>
      <w:r>
        <w:rPr>
          <w:b/>
          <w:color w:val="0C4E54"/>
        </w:rPr>
        <w:t>2. Fonun mevcut durumu ve Kurul kararları</w:t>
      </w:r>
    </w:p>
    <w:p w:rsidR="00C36049" w:rsidRDefault="00AD6E7E">
      <w:r>
        <w:t xml:space="preserve">Kurulunuz 16.09.2026 tarihinde (2026/59 sayılı Bülten) bazı paylardaki işlemler nedeniyle SPKn m.107/1 </w:t>
      </w:r>
      <w:r>
        <w:t xml:space="preserve">kapsamında 38 kişi hakkında suç duyurusunda bulunmuş ve işlem yasakları getirmiş; 17.09.2026 tarih ve 57/1708 sayılı kararıyla yedi portföy yönetim şirketinin fonlarının TEFAS işlemlerini </w:t>
      </w:r>
      <w:r>
        <w:lastRenderedPageBreak/>
        <w:t>durdurarak 131 fonu tasfiye kapsamına almıştır. Tasfiye süresi 20.09</w:t>
      </w:r>
      <w:r>
        <w:t>.2026 tarih ve 59/1710 sayılı kararla altı aya uzatılmıştır. Müvekkilin yatırımcısı olduğu fon da bu kapsamdadır. [Fon kapsam dışındaysa uyarlanmalıdır.]</w:t>
      </w:r>
    </w:p>
    <w:p w:rsidR="00C36049" w:rsidRDefault="00AD6E7E">
      <w:r>
        <w:t>Mevcut incelemeler şirket ve pay bazında yürütülmekle birlikte, müvekkilin fonuna özgü aşağıdaki husus</w:t>
      </w:r>
      <w:r>
        <w:t>ların ayrıca ve açıkça incelenmesi, yatırımcı zararının kaynağının ortaya konulması bakımından zorunludur.</w:t>
      </w:r>
    </w:p>
    <w:p w:rsidR="00C36049" w:rsidRDefault="00AD6E7E">
      <w:pPr>
        <w:keepNext/>
        <w:spacing w:after="60"/>
      </w:pPr>
      <w:r>
        <w:rPr>
          <w:b/>
          <w:color w:val="0C4E54"/>
        </w:rPr>
        <w:t>3. Portföy yoğunlaşması ve yatırım stratejisine uygunluk</w:t>
      </w:r>
    </w:p>
    <w:p w:rsidR="00C36049" w:rsidRDefault="00AD6E7E">
      <w:r>
        <w:t xml:space="preserve">Fonun portföyünün sınırlı sayıda ve düşük fiili dolaşımlı payda yoğunlaştığı, bazı paylarda </w:t>
      </w:r>
      <w:r>
        <w:t>fonların toplam pozisyonunun payın fiili dolaşımdaki miktarına yaklaştığı ya da onu aştığı kamuya açık verilerden anlaşılmaktadır. Fiilen yapılan işlemlerin izahnamedeki yatırım stratejisi, fon türü, yatırım sınırlamaları ve Yatırım Fonlarına İlişkin Rehbe</w:t>
      </w:r>
      <w:r>
        <w:t>r’deki yoğunlaşma esaslarıyla karşılaştırılması gerekmektedir. [Somut veri: payın kodu, fondaki oranı, tarih.]</w:t>
      </w:r>
    </w:p>
    <w:p w:rsidR="00C36049" w:rsidRDefault="00AD6E7E">
      <w:pPr>
        <w:keepNext/>
        <w:spacing w:after="60"/>
      </w:pPr>
      <w:r>
        <w:rPr>
          <w:b/>
          <w:color w:val="0C4E54"/>
        </w:rPr>
        <w:t>4. İlişkili taraf işlemleri</w:t>
      </w:r>
    </w:p>
    <w:p w:rsidR="00C36049" w:rsidRDefault="00AD6E7E">
      <w:r>
        <w:t>Fon ile kurucu, kurucunun yöneticileri ve ortakları, bunların bağlı ortaklık ve iştirakleri ile ilişkili gerçek kişil</w:t>
      </w:r>
      <w:r>
        <w:t>er arasında doğrudan veya dolaylı işlem, karşı taraf ilişkisi ya da fon varlığından menfaat aktarımı bulunup bulunmadığının incelenmesi gerekmektedir.</w:t>
      </w:r>
    </w:p>
    <w:p w:rsidR="00C36049" w:rsidRDefault="00AD6E7E">
      <w:pPr>
        <w:keepNext/>
        <w:spacing w:after="60"/>
      </w:pPr>
      <w:r>
        <w:rPr>
          <w:b/>
          <w:color w:val="0C4E54"/>
        </w:rPr>
        <w:t>5. Değerleme ve birim pay değeri</w:t>
      </w:r>
    </w:p>
    <w:p w:rsidR="00C36049" w:rsidRDefault="00AD6E7E">
      <w:r>
        <w:t>Tasfiye öncesindeki birim pay değerinin; portföydeki payların gerçek işl</w:t>
      </w:r>
      <w:r>
        <w:t>em hacmini, derinliğini ve likidite koşullarını yansıtıp yansıtmadığı; ilişkili fonlar arasında karşılıklı alımlarla fiyatın yapay olarak yükseltilip yükseltilmediği ve Kurulunuzun 23.07.2026 tarihli değerleme kararının uygulamaya etkisi incelenmelidir.</w:t>
      </w:r>
    </w:p>
    <w:p w:rsidR="00C36049" w:rsidRDefault="00AD6E7E">
      <w:pPr>
        <w:keepNext/>
        <w:spacing w:after="60"/>
      </w:pPr>
      <w:r>
        <w:rPr>
          <w:b/>
          <w:color w:val="0C4E54"/>
        </w:rPr>
        <w:t>6.</w:t>
      </w:r>
      <w:r>
        <w:rPr>
          <w:b/>
          <w:color w:val="0C4E54"/>
        </w:rPr>
        <w:t xml:space="preserve"> Likidite yönetimi ve iade talepleri</w:t>
      </w:r>
    </w:p>
    <w:p w:rsidR="00C36049" w:rsidRDefault="00AD6E7E">
      <w:r>
        <w:t>Müvekkilin [tarih/saat] tarihli, [●] adet paya ilişkin iade talimatı yerine getirilmemiştir. İade taleplerinin hangi sırayla ve hangi gerekçeyle karşılanmadığı, likidite riskinin önceden öngörülüp öngörülmediği, iade ta</w:t>
      </w:r>
      <w:r>
        <w:t>leplerinin karşılanması için hangi işlemlerin yapıldığı ve bu süreçte bazı yatırımcılara öncelik tanınıp tanınmadığı incelenmelidir.</w:t>
      </w:r>
    </w:p>
    <w:p w:rsidR="00C36049" w:rsidRDefault="00AD6E7E">
      <w:pPr>
        <w:keepNext/>
        <w:spacing w:after="60"/>
      </w:pPr>
      <w:r>
        <w:rPr>
          <w:b/>
          <w:color w:val="0C4E54"/>
        </w:rPr>
        <w:t>7. Portföy saklayıcısının gözetim yükümlülüğü</w:t>
      </w:r>
    </w:p>
    <w:p w:rsidR="00C36049" w:rsidRDefault="00AD6E7E">
      <w:r>
        <w:t>Portföy saklayıcısının, fonun mevzuata ve izahnameye uygun yönetilip yönetilm</w:t>
      </w:r>
      <w:r>
        <w:t>ediğini gözetme ve aykırılıkları Kurulunuza bildirme yükümlülüğünü yerine getirip getirmediği ayrıca incelenmelidir.</w:t>
      </w:r>
    </w:p>
    <w:p w:rsidR="00C36049" w:rsidRDefault="00AD6E7E">
      <w:pPr>
        <w:keepNext/>
        <w:spacing w:after="60"/>
      </w:pPr>
      <w:r>
        <w:rPr>
          <w:b/>
          <w:color w:val="0C4E54"/>
        </w:rPr>
        <w:t>8. Dağıtıcı kuruluşun satış süreci</w:t>
      </w:r>
    </w:p>
    <w:p w:rsidR="00C36049" w:rsidRDefault="00AD6E7E">
      <w:r>
        <w:t>Katılma payının müvekkile satışında uygunluk ve yerindelik testlerinin gerçeğe uygun şekilde yapılıp yap</w:t>
      </w:r>
      <w:r>
        <w:t>ılmadığı, risklerin açıklanıp açıklanmadığı ve pazarlama sürecinde yanıltıcı bilgi verilip verilmediği incelenmelidir.</w:t>
      </w:r>
    </w:p>
    <w:p w:rsidR="00C36049" w:rsidRDefault="00AD6E7E">
      <w:r>
        <w:br w:type="page"/>
      </w:r>
    </w:p>
    <w:p w:rsidR="00C36049" w:rsidRDefault="00AD6E7E">
      <w:pPr>
        <w:keepNext/>
        <w:pBdr>
          <w:bottom w:val="single" w:sz="6" w:space="1" w:color="0C4E54"/>
        </w:pBdr>
        <w:spacing w:before="240"/>
      </w:pPr>
      <w:r>
        <w:rPr>
          <w:b/>
          <w:color w:val="0C4E54"/>
          <w:sz w:val="23"/>
        </w:rPr>
        <w:lastRenderedPageBreak/>
        <w:t>III. TALEP EDİLEN İNCELEMELER</w:t>
      </w:r>
    </w:p>
    <w:tbl>
      <w:tblPr>
        <w:tblStyle w:val="TabloKlavuzu"/>
        <w:tblW w:w="0" w:type="auto"/>
        <w:jc w:val="center"/>
        <w:tblLayout w:type="fixed"/>
        <w:tblLook w:val="04A0" w:firstRow="1" w:lastRow="0" w:firstColumn="1" w:lastColumn="0" w:noHBand="0" w:noVBand="1"/>
      </w:tblPr>
      <w:tblGrid>
        <w:gridCol w:w="567"/>
        <w:gridCol w:w="5272"/>
        <w:gridCol w:w="3402"/>
      </w:tblGrid>
      <w:tr w:rsidR="00C36049">
        <w:trPr>
          <w:jc w:val="center"/>
        </w:trPr>
        <w:tc>
          <w:tcPr>
            <w:tcW w:w="567" w:type="dxa"/>
            <w:shd w:val="clear" w:color="auto" w:fill="0C4E54"/>
          </w:tcPr>
          <w:p w:rsidR="00C36049" w:rsidRDefault="00AD6E7E">
            <w:r>
              <w:rPr>
                <w:b/>
                <w:color w:val="FFFFFF"/>
                <w:sz w:val="19"/>
              </w:rPr>
              <w:t>No</w:t>
            </w:r>
          </w:p>
        </w:tc>
        <w:tc>
          <w:tcPr>
            <w:tcW w:w="5272" w:type="dxa"/>
            <w:shd w:val="clear" w:color="auto" w:fill="0C4E54"/>
          </w:tcPr>
          <w:p w:rsidR="00C36049" w:rsidRDefault="00AD6E7E">
            <w:r>
              <w:rPr>
                <w:b/>
                <w:color w:val="FFFFFF"/>
                <w:sz w:val="19"/>
              </w:rPr>
              <w:t>İnceleme konusu</w:t>
            </w:r>
          </w:p>
        </w:tc>
        <w:tc>
          <w:tcPr>
            <w:tcW w:w="3402" w:type="dxa"/>
            <w:shd w:val="clear" w:color="auto" w:fill="0C4E54"/>
          </w:tcPr>
          <w:p w:rsidR="00C36049" w:rsidRDefault="00AD6E7E">
            <w:r>
              <w:rPr>
                <w:b/>
                <w:color w:val="FFFFFF"/>
                <w:sz w:val="19"/>
              </w:rPr>
              <w:t>İncelenecek kayıt / kaynak</w:t>
            </w:r>
          </w:p>
        </w:tc>
      </w:tr>
      <w:tr w:rsidR="00C36049">
        <w:trPr>
          <w:jc w:val="center"/>
        </w:trPr>
        <w:tc>
          <w:tcPr>
            <w:tcW w:w="9241" w:type="dxa"/>
            <w:gridSpan w:val="3"/>
            <w:shd w:val="clear" w:color="auto" w:fill="D9E6E6"/>
          </w:tcPr>
          <w:p w:rsidR="00C36049" w:rsidRDefault="00AD6E7E">
            <w:pPr>
              <w:spacing w:after="20" w:line="252" w:lineRule="auto"/>
              <w:jc w:val="left"/>
            </w:pPr>
            <w:r>
              <w:rPr>
                <w:b/>
                <w:color w:val="0C4E54"/>
                <w:sz w:val="19"/>
              </w:rPr>
              <w:t>A. Portföy ve değerleme</w:t>
            </w:r>
          </w:p>
        </w:tc>
      </w:tr>
      <w:tr w:rsidR="00C36049">
        <w:trPr>
          <w:jc w:val="center"/>
        </w:trPr>
        <w:tc>
          <w:tcPr>
            <w:tcW w:w="567" w:type="dxa"/>
            <w:shd w:val="clear" w:color="auto" w:fill="F4F7F7"/>
          </w:tcPr>
          <w:p w:rsidR="00C36049" w:rsidRDefault="00AD6E7E">
            <w:pPr>
              <w:spacing w:after="20" w:line="252" w:lineRule="auto"/>
              <w:jc w:val="left"/>
            </w:pPr>
            <w:r>
              <w:rPr>
                <w:sz w:val="19"/>
              </w:rPr>
              <w:t>1</w:t>
            </w:r>
          </w:p>
        </w:tc>
        <w:tc>
          <w:tcPr>
            <w:tcW w:w="5272" w:type="dxa"/>
            <w:shd w:val="clear" w:color="auto" w:fill="F4F7F7"/>
          </w:tcPr>
          <w:p w:rsidR="00C36049" w:rsidRDefault="00AD6E7E">
            <w:pPr>
              <w:spacing w:after="20" w:line="252" w:lineRule="auto"/>
              <w:jc w:val="left"/>
            </w:pPr>
            <w:r>
              <w:rPr>
                <w:sz w:val="19"/>
              </w:rPr>
              <w:t xml:space="preserve">Fonun kuruluşundan tasfiyeye </w:t>
            </w:r>
            <w:r>
              <w:rPr>
                <w:sz w:val="19"/>
              </w:rPr>
              <w:t>kadar portföy hareketleri ve yoğunlaşma oranları</w:t>
            </w:r>
          </w:p>
        </w:tc>
        <w:tc>
          <w:tcPr>
            <w:tcW w:w="3402" w:type="dxa"/>
            <w:shd w:val="clear" w:color="auto" w:fill="F4F7F7"/>
          </w:tcPr>
          <w:p w:rsidR="00C36049" w:rsidRDefault="00AD6E7E">
            <w:pPr>
              <w:spacing w:after="20" w:line="252" w:lineRule="auto"/>
              <w:jc w:val="left"/>
            </w:pPr>
            <w:r>
              <w:rPr>
                <w:sz w:val="19"/>
              </w:rPr>
              <w:t>Günlük portföy raporları, saklayıcı kayıtları</w:t>
            </w:r>
          </w:p>
        </w:tc>
      </w:tr>
      <w:tr w:rsidR="00C36049">
        <w:trPr>
          <w:jc w:val="center"/>
        </w:trPr>
        <w:tc>
          <w:tcPr>
            <w:tcW w:w="567" w:type="dxa"/>
          </w:tcPr>
          <w:p w:rsidR="00C36049" w:rsidRDefault="00AD6E7E">
            <w:pPr>
              <w:spacing w:after="20" w:line="252" w:lineRule="auto"/>
              <w:jc w:val="left"/>
            </w:pPr>
            <w:r>
              <w:rPr>
                <w:sz w:val="19"/>
              </w:rPr>
              <w:t>2</w:t>
            </w:r>
          </w:p>
        </w:tc>
        <w:tc>
          <w:tcPr>
            <w:tcW w:w="5272" w:type="dxa"/>
          </w:tcPr>
          <w:p w:rsidR="00C36049" w:rsidRDefault="00AD6E7E">
            <w:pPr>
              <w:spacing w:after="20" w:line="252" w:lineRule="auto"/>
              <w:jc w:val="left"/>
            </w:pPr>
            <w:r>
              <w:rPr>
                <w:sz w:val="19"/>
              </w:rPr>
              <w:t>Günlük net aktif değer ve birim pay değeri hesaplamaları; değerleme yöntemleri</w:t>
            </w:r>
          </w:p>
        </w:tc>
        <w:tc>
          <w:tcPr>
            <w:tcW w:w="3402" w:type="dxa"/>
          </w:tcPr>
          <w:p w:rsidR="00C36049" w:rsidRDefault="00AD6E7E">
            <w:pPr>
              <w:spacing w:after="20" w:line="252" w:lineRule="auto"/>
              <w:jc w:val="left"/>
            </w:pPr>
            <w:r>
              <w:rPr>
                <w:sz w:val="19"/>
              </w:rPr>
              <w:t>Fon muhasebe kayıtları, değerleme raporları</w:t>
            </w:r>
          </w:p>
        </w:tc>
      </w:tr>
      <w:tr w:rsidR="00C36049">
        <w:trPr>
          <w:jc w:val="center"/>
        </w:trPr>
        <w:tc>
          <w:tcPr>
            <w:tcW w:w="567" w:type="dxa"/>
            <w:shd w:val="clear" w:color="auto" w:fill="F4F7F7"/>
          </w:tcPr>
          <w:p w:rsidR="00C36049" w:rsidRDefault="00AD6E7E">
            <w:pPr>
              <w:spacing w:after="20" w:line="252" w:lineRule="auto"/>
              <w:jc w:val="left"/>
            </w:pPr>
            <w:r>
              <w:rPr>
                <w:sz w:val="19"/>
              </w:rPr>
              <w:t>3</w:t>
            </w:r>
          </w:p>
        </w:tc>
        <w:tc>
          <w:tcPr>
            <w:tcW w:w="5272" w:type="dxa"/>
            <w:shd w:val="clear" w:color="auto" w:fill="F4F7F7"/>
          </w:tcPr>
          <w:p w:rsidR="00C36049" w:rsidRDefault="00AD6E7E">
            <w:pPr>
              <w:spacing w:after="20" w:line="252" w:lineRule="auto"/>
              <w:jc w:val="left"/>
            </w:pPr>
            <w:r>
              <w:rPr>
                <w:sz w:val="19"/>
              </w:rPr>
              <w:t xml:space="preserve">Yatırım sınırlamalarına, fon </w:t>
            </w:r>
            <w:r>
              <w:rPr>
                <w:sz w:val="19"/>
              </w:rPr>
              <w:t>türüne ve izahnamedeki stratejiye uyum</w:t>
            </w:r>
          </w:p>
        </w:tc>
        <w:tc>
          <w:tcPr>
            <w:tcW w:w="3402" w:type="dxa"/>
            <w:shd w:val="clear" w:color="auto" w:fill="F4F7F7"/>
          </w:tcPr>
          <w:p w:rsidR="00C36049" w:rsidRDefault="00AD6E7E">
            <w:pPr>
              <w:spacing w:after="20" w:line="252" w:lineRule="auto"/>
              <w:jc w:val="left"/>
            </w:pPr>
            <w:r>
              <w:rPr>
                <w:sz w:val="19"/>
              </w:rPr>
              <w:t>İzahname, içtüzük, portföy raporları</w:t>
            </w:r>
          </w:p>
        </w:tc>
      </w:tr>
      <w:tr w:rsidR="00C36049">
        <w:trPr>
          <w:jc w:val="center"/>
        </w:trPr>
        <w:tc>
          <w:tcPr>
            <w:tcW w:w="567" w:type="dxa"/>
          </w:tcPr>
          <w:p w:rsidR="00C36049" w:rsidRDefault="00AD6E7E">
            <w:pPr>
              <w:spacing w:after="20" w:line="252" w:lineRule="auto"/>
              <w:jc w:val="left"/>
            </w:pPr>
            <w:r>
              <w:rPr>
                <w:sz w:val="19"/>
              </w:rPr>
              <w:t>4</w:t>
            </w:r>
          </w:p>
        </w:tc>
        <w:tc>
          <w:tcPr>
            <w:tcW w:w="5272" w:type="dxa"/>
          </w:tcPr>
          <w:p w:rsidR="00C36049" w:rsidRDefault="00AD6E7E">
            <w:pPr>
              <w:spacing w:after="20" w:line="252" w:lineRule="auto"/>
              <w:jc w:val="left"/>
            </w:pPr>
            <w:r>
              <w:rPr>
                <w:sz w:val="19"/>
              </w:rPr>
              <w:t>Fonun belirli paylardaki işlemleri ile bu payların fiyat ve hacim hareketleri arasındaki ilişki</w:t>
            </w:r>
          </w:p>
        </w:tc>
        <w:tc>
          <w:tcPr>
            <w:tcW w:w="3402" w:type="dxa"/>
          </w:tcPr>
          <w:p w:rsidR="00C36049" w:rsidRDefault="00AD6E7E">
            <w:pPr>
              <w:spacing w:after="20" w:line="252" w:lineRule="auto"/>
              <w:jc w:val="left"/>
            </w:pPr>
            <w:r>
              <w:rPr>
                <w:sz w:val="19"/>
              </w:rPr>
              <w:t>Borsa İstanbul emir ve işlem kayıtları</w:t>
            </w:r>
          </w:p>
        </w:tc>
      </w:tr>
      <w:tr w:rsidR="00C36049">
        <w:trPr>
          <w:jc w:val="center"/>
        </w:trPr>
        <w:tc>
          <w:tcPr>
            <w:tcW w:w="9241" w:type="dxa"/>
            <w:gridSpan w:val="3"/>
            <w:shd w:val="clear" w:color="auto" w:fill="D9E6E6"/>
          </w:tcPr>
          <w:p w:rsidR="00C36049" w:rsidRDefault="00AD6E7E">
            <w:pPr>
              <w:spacing w:after="20" w:line="252" w:lineRule="auto"/>
              <w:jc w:val="left"/>
            </w:pPr>
            <w:r>
              <w:rPr>
                <w:b/>
                <w:color w:val="0C4E54"/>
                <w:sz w:val="19"/>
              </w:rPr>
              <w:t>B. İlişkili taraflar ve yöneticiler</w:t>
            </w:r>
          </w:p>
        </w:tc>
      </w:tr>
      <w:tr w:rsidR="00C36049">
        <w:trPr>
          <w:jc w:val="center"/>
        </w:trPr>
        <w:tc>
          <w:tcPr>
            <w:tcW w:w="567" w:type="dxa"/>
          </w:tcPr>
          <w:p w:rsidR="00C36049" w:rsidRDefault="00AD6E7E">
            <w:pPr>
              <w:spacing w:after="20" w:line="252" w:lineRule="auto"/>
              <w:jc w:val="left"/>
            </w:pPr>
            <w:r>
              <w:rPr>
                <w:sz w:val="19"/>
              </w:rPr>
              <w:t>5</w:t>
            </w:r>
          </w:p>
        </w:tc>
        <w:tc>
          <w:tcPr>
            <w:tcW w:w="5272" w:type="dxa"/>
          </w:tcPr>
          <w:p w:rsidR="00C36049" w:rsidRDefault="00AD6E7E">
            <w:pPr>
              <w:spacing w:after="20" w:line="252" w:lineRule="auto"/>
              <w:jc w:val="left"/>
            </w:pPr>
            <w:r>
              <w:rPr>
                <w:sz w:val="19"/>
              </w:rPr>
              <w:t>Kurucu, yöneticiler, ortaklar ve bağlantılı kişilerle yapılan işlemler; karşı taraf analizi</w:t>
            </w:r>
          </w:p>
        </w:tc>
        <w:tc>
          <w:tcPr>
            <w:tcW w:w="3402" w:type="dxa"/>
          </w:tcPr>
          <w:p w:rsidR="00C36049" w:rsidRDefault="00AD6E7E">
            <w:pPr>
              <w:spacing w:after="20" w:line="252" w:lineRule="auto"/>
              <w:jc w:val="left"/>
            </w:pPr>
            <w:r>
              <w:rPr>
                <w:sz w:val="19"/>
              </w:rPr>
              <w:t>Borsa İstanbul, MKK, Takasbank kayıtları</w:t>
            </w:r>
          </w:p>
        </w:tc>
      </w:tr>
      <w:tr w:rsidR="00C36049">
        <w:trPr>
          <w:jc w:val="center"/>
        </w:trPr>
        <w:tc>
          <w:tcPr>
            <w:tcW w:w="567" w:type="dxa"/>
            <w:shd w:val="clear" w:color="auto" w:fill="F4F7F7"/>
          </w:tcPr>
          <w:p w:rsidR="00C36049" w:rsidRDefault="00AD6E7E">
            <w:pPr>
              <w:spacing w:after="20" w:line="252" w:lineRule="auto"/>
              <w:jc w:val="left"/>
            </w:pPr>
            <w:r>
              <w:rPr>
                <w:sz w:val="19"/>
              </w:rPr>
              <w:t>6</w:t>
            </w:r>
          </w:p>
        </w:tc>
        <w:tc>
          <w:tcPr>
            <w:tcW w:w="5272" w:type="dxa"/>
            <w:shd w:val="clear" w:color="auto" w:fill="F4F7F7"/>
          </w:tcPr>
          <w:p w:rsidR="00C36049" w:rsidRDefault="00AD6E7E">
            <w:pPr>
              <w:spacing w:after="20" w:line="252" w:lineRule="auto"/>
              <w:jc w:val="left"/>
            </w:pPr>
            <w:r>
              <w:rPr>
                <w:sz w:val="19"/>
              </w:rPr>
              <w:t>Kurucu yöneticileri ve fon yöneticilerinin ilgili dönemdeki kişisel işlemleri ile fon işlemleri arasındaki bağlantı</w:t>
            </w:r>
          </w:p>
        </w:tc>
        <w:tc>
          <w:tcPr>
            <w:tcW w:w="3402" w:type="dxa"/>
            <w:shd w:val="clear" w:color="auto" w:fill="F4F7F7"/>
          </w:tcPr>
          <w:p w:rsidR="00C36049" w:rsidRDefault="00AD6E7E">
            <w:pPr>
              <w:spacing w:after="20" w:line="252" w:lineRule="auto"/>
              <w:jc w:val="left"/>
            </w:pPr>
            <w:r>
              <w:rPr>
                <w:sz w:val="19"/>
              </w:rPr>
              <w:t xml:space="preserve">MKK </w:t>
            </w:r>
            <w:r>
              <w:rPr>
                <w:sz w:val="19"/>
              </w:rPr>
              <w:t>hesap kayıtları, banka kayıtları</w:t>
            </w:r>
          </w:p>
        </w:tc>
      </w:tr>
      <w:tr w:rsidR="00C36049">
        <w:trPr>
          <w:jc w:val="center"/>
        </w:trPr>
        <w:tc>
          <w:tcPr>
            <w:tcW w:w="9241" w:type="dxa"/>
            <w:gridSpan w:val="3"/>
            <w:shd w:val="clear" w:color="auto" w:fill="D9E6E6"/>
          </w:tcPr>
          <w:p w:rsidR="00C36049" w:rsidRDefault="00AD6E7E">
            <w:pPr>
              <w:spacing w:after="20" w:line="252" w:lineRule="auto"/>
              <w:jc w:val="left"/>
            </w:pPr>
            <w:r>
              <w:rPr>
                <w:b/>
                <w:color w:val="0C4E54"/>
                <w:sz w:val="19"/>
              </w:rPr>
              <w:t>C. Likidite, iade ve saklama</w:t>
            </w:r>
          </w:p>
        </w:tc>
      </w:tr>
      <w:tr w:rsidR="00C36049">
        <w:trPr>
          <w:jc w:val="center"/>
        </w:trPr>
        <w:tc>
          <w:tcPr>
            <w:tcW w:w="567" w:type="dxa"/>
            <w:shd w:val="clear" w:color="auto" w:fill="F4F7F7"/>
          </w:tcPr>
          <w:p w:rsidR="00C36049" w:rsidRDefault="00AD6E7E">
            <w:pPr>
              <w:spacing w:after="20" w:line="252" w:lineRule="auto"/>
              <w:jc w:val="left"/>
            </w:pPr>
            <w:r>
              <w:rPr>
                <w:sz w:val="19"/>
              </w:rPr>
              <w:t>7</w:t>
            </w:r>
          </w:p>
        </w:tc>
        <w:tc>
          <w:tcPr>
            <w:tcW w:w="5272" w:type="dxa"/>
            <w:shd w:val="clear" w:color="auto" w:fill="F4F7F7"/>
          </w:tcPr>
          <w:p w:rsidR="00C36049" w:rsidRDefault="00AD6E7E">
            <w:pPr>
              <w:spacing w:after="20" w:line="252" w:lineRule="auto"/>
              <w:jc w:val="left"/>
            </w:pPr>
            <w:r>
              <w:rPr>
                <w:sz w:val="19"/>
              </w:rPr>
              <w:t>İade emirlerinin sırası, karşılanma durumu ve gerekçesi; yatırımcılar arasında farklı muamele bulunup bulunmadığı</w:t>
            </w:r>
          </w:p>
        </w:tc>
        <w:tc>
          <w:tcPr>
            <w:tcW w:w="3402" w:type="dxa"/>
            <w:shd w:val="clear" w:color="auto" w:fill="F4F7F7"/>
          </w:tcPr>
          <w:p w:rsidR="00C36049" w:rsidRDefault="00AD6E7E">
            <w:pPr>
              <w:spacing w:after="20" w:line="252" w:lineRule="auto"/>
              <w:jc w:val="left"/>
            </w:pPr>
            <w:r>
              <w:rPr>
                <w:sz w:val="19"/>
              </w:rPr>
              <w:t>TEFAS ve Takasbank emir kayıtları</w:t>
            </w:r>
          </w:p>
        </w:tc>
      </w:tr>
      <w:tr w:rsidR="00C36049">
        <w:trPr>
          <w:jc w:val="center"/>
        </w:trPr>
        <w:tc>
          <w:tcPr>
            <w:tcW w:w="567" w:type="dxa"/>
          </w:tcPr>
          <w:p w:rsidR="00C36049" w:rsidRDefault="00AD6E7E">
            <w:pPr>
              <w:spacing w:after="20" w:line="252" w:lineRule="auto"/>
              <w:jc w:val="left"/>
            </w:pPr>
            <w:r>
              <w:rPr>
                <w:sz w:val="19"/>
              </w:rPr>
              <w:t>8</w:t>
            </w:r>
          </w:p>
        </w:tc>
        <w:tc>
          <w:tcPr>
            <w:tcW w:w="5272" w:type="dxa"/>
          </w:tcPr>
          <w:p w:rsidR="00C36049" w:rsidRDefault="00AD6E7E">
            <w:pPr>
              <w:spacing w:after="20" w:line="252" w:lineRule="auto"/>
              <w:jc w:val="left"/>
            </w:pPr>
            <w:r>
              <w:rPr>
                <w:sz w:val="19"/>
              </w:rPr>
              <w:t xml:space="preserve">Likidite riskinin yönetimi; risk </w:t>
            </w:r>
            <w:r>
              <w:rPr>
                <w:sz w:val="19"/>
              </w:rPr>
              <w:t>yönetim sistemi ve iç kontrol raporları</w:t>
            </w:r>
          </w:p>
        </w:tc>
        <w:tc>
          <w:tcPr>
            <w:tcW w:w="3402" w:type="dxa"/>
          </w:tcPr>
          <w:p w:rsidR="00C36049" w:rsidRDefault="00AD6E7E">
            <w:pPr>
              <w:spacing w:after="20" w:line="252" w:lineRule="auto"/>
              <w:jc w:val="left"/>
            </w:pPr>
            <w:r>
              <w:rPr>
                <w:sz w:val="19"/>
              </w:rPr>
              <w:t>Kurucunun risk ve iç kontrol belgeleri</w:t>
            </w:r>
          </w:p>
        </w:tc>
      </w:tr>
      <w:tr w:rsidR="00C36049">
        <w:trPr>
          <w:jc w:val="center"/>
        </w:trPr>
        <w:tc>
          <w:tcPr>
            <w:tcW w:w="567" w:type="dxa"/>
            <w:shd w:val="clear" w:color="auto" w:fill="F4F7F7"/>
          </w:tcPr>
          <w:p w:rsidR="00C36049" w:rsidRDefault="00AD6E7E">
            <w:pPr>
              <w:spacing w:after="20" w:line="252" w:lineRule="auto"/>
              <w:jc w:val="left"/>
            </w:pPr>
            <w:r>
              <w:rPr>
                <w:sz w:val="19"/>
              </w:rPr>
              <w:t>9</w:t>
            </w:r>
          </w:p>
        </w:tc>
        <w:tc>
          <w:tcPr>
            <w:tcW w:w="5272" w:type="dxa"/>
            <w:shd w:val="clear" w:color="auto" w:fill="F4F7F7"/>
          </w:tcPr>
          <w:p w:rsidR="00C36049" w:rsidRDefault="00AD6E7E">
            <w:pPr>
              <w:spacing w:after="20" w:line="252" w:lineRule="auto"/>
              <w:jc w:val="left"/>
            </w:pPr>
            <w:r>
              <w:rPr>
                <w:sz w:val="19"/>
              </w:rPr>
              <w:t>Portföy saklayıcısının gözetim ve bildirim yükümlülüğü</w:t>
            </w:r>
          </w:p>
        </w:tc>
        <w:tc>
          <w:tcPr>
            <w:tcW w:w="3402" w:type="dxa"/>
            <w:shd w:val="clear" w:color="auto" w:fill="F4F7F7"/>
          </w:tcPr>
          <w:p w:rsidR="00C36049" w:rsidRDefault="00AD6E7E">
            <w:pPr>
              <w:spacing w:after="20" w:line="252" w:lineRule="auto"/>
              <w:jc w:val="left"/>
            </w:pPr>
            <w:r>
              <w:rPr>
                <w:sz w:val="19"/>
              </w:rPr>
              <w:t>Saklayıcı gözetim raporları, Kurula bildirimler</w:t>
            </w:r>
          </w:p>
        </w:tc>
      </w:tr>
      <w:tr w:rsidR="00C36049">
        <w:trPr>
          <w:jc w:val="center"/>
        </w:trPr>
        <w:tc>
          <w:tcPr>
            <w:tcW w:w="567" w:type="dxa"/>
          </w:tcPr>
          <w:p w:rsidR="00C36049" w:rsidRDefault="00AD6E7E">
            <w:pPr>
              <w:spacing w:after="20" w:line="252" w:lineRule="auto"/>
              <w:jc w:val="left"/>
            </w:pPr>
            <w:r>
              <w:rPr>
                <w:sz w:val="19"/>
              </w:rPr>
              <w:t>10</w:t>
            </w:r>
          </w:p>
        </w:tc>
        <w:tc>
          <w:tcPr>
            <w:tcW w:w="5272" w:type="dxa"/>
          </w:tcPr>
          <w:p w:rsidR="00C36049" w:rsidRDefault="00AD6E7E">
            <w:pPr>
              <w:spacing w:after="20" w:line="252" w:lineRule="auto"/>
              <w:jc w:val="left"/>
            </w:pPr>
            <w:r>
              <w:rPr>
                <w:sz w:val="19"/>
              </w:rPr>
              <w:t>Dağıtıcı kuruluşun uygunluk/yerindelik testleri ve pazarlama süreci</w:t>
            </w:r>
          </w:p>
        </w:tc>
        <w:tc>
          <w:tcPr>
            <w:tcW w:w="3402" w:type="dxa"/>
          </w:tcPr>
          <w:p w:rsidR="00C36049" w:rsidRDefault="00AD6E7E">
            <w:pPr>
              <w:spacing w:after="20" w:line="252" w:lineRule="auto"/>
              <w:jc w:val="left"/>
            </w:pPr>
            <w:r>
              <w:rPr>
                <w:sz w:val="19"/>
              </w:rPr>
              <w:t>Müşteri dosyası, test kayıtları</w:t>
            </w:r>
          </w:p>
        </w:tc>
      </w:tr>
      <w:tr w:rsidR="00C36049">
        <w:trPr>
          <w:jc w:val="center"/>
        </w:trPr>
        <w:tc>
          <w:tcPr>
            <w:tcW w:w="9241" w:type="dxa"/>
            <w:gridSpan w:val="3"/>
            <w:shd w:val="clear" w:color="auto" w:fill="D9E6E6"/>
          </w:tcPr>
          <w:p w:rsidR="00C36049" w:rsidRDefault="00AD6E7E">
            <w:pPr>
              <w:spacing w:after="20" w:line="252" w:lineRule="auto"/>
              <w:jc w:val="left"/>
            </w:pPr>
            <w:r>
              <w:rPr>
                <w:b/>
                <w:color w:val="0C4E54"/>
                <w:sz w:val="19"/>
              </w:rPr>
              <w:t>D. Sonuç işlemleri</w:t>
            </w:r>
          </w:p>
        </w:tc>
      </w:tr>
      <w:tr w:rsidR="00C36049">
        <w:trPr>
          <w:jc w:val="center"/>
        </w:trPr>
        <w:tc>
          <w:tcPr>
            <w:tcW w:w="567" w:type="dxa"/>
          </w:tcPr>
          <w:p w:rsidR="00C36049" w:rsidRDefault="00AD6E7E">
            <w:pPr>
              <w:spacing w:after="20" w:line="252" w:lineRule="auto"/>
              <w:jc w:val="left"/>
            </w:pPr>
            <w:r>
              <w:rPr>
                <w:sz w:val="19"/>
              </w:rPr>
              <w:t>11</w:t>
            </w:r>
          </w:p>
        </w:tc>
        <w:tc>
          <w:tcPr>
            <w:tcW w:w="5272" w:type="dxa"/>
          </w:tcPr>
          <w:p w:rsidR="00C36049" w:rsidRDefault="00AD6E7E">
            <w:pPr>
              <w:spacing w:after="20" w:line="252" w:lineRule="auto"/>
              <w:jc w:val="left"/>
            </w:pPr>
            <w:r>
              <w:rPr>
                <w:sz w:val="19"/>
              </w:rPr>
              <w:t>Aykırılık tespitinde SPKn kapsamında idari tedbir ve yaptırımların uygulanması</w:t>
            </w:r>
          </w:p>
        </w:tc>
        <w:tc>
          <w:tcPr>
            <w:tcW w:w="3402" w:type="dxa"/>
          </w:tcPr>
          <w:p w:rsidR="00C36049" w:rsidRDefault="00AD6E7E">
            <w:pPr>
              <w:spacing w:after="20" w:line="252" w:lineRule="auto"/>
              <w:jc w:val="left"/>
            </w:pPr>
            <w:r>
              <w:rPr>
                <w:sz w:val="19"/>
              </w:rPr>
              <w:t>SPKn m.96, m.103</w:t>
            </w:r>
          </w:p>
        </w:tc>
      </w:tr>
      <w:tr w:rsidR="00C36049">
        <w:trPr>
          <w:jc w:val="center"/>
        </w:trPr>
        <w:tc>
          <w:tcPr>
            <w:tcW w:w="567" w:type="dxa"/>
            <w:shd w:val="clear" w:color="auto" w:fill="F4F7F7"/>
          </w:tcPr>
          <w:p w:rsidR="00C36049" w:rsidRDefault="00AD6E7E">
            <w:pPr>
              <w:spacing w:after="20" w:line="252" w:lineRule="auto"/>
              <w:jc w:val="left"/>
            </w:pPr>
            <w:r>
              <w:rPr>
                <w:sz w:val="19"/>
              </w:rPr>
              <w:t>12</w:t>
            </w:r>
          </w:p>
        </w:tc>
        <w:tc>
          <w:tcPr>
            <w:tcW w:w="5272" w:type="dxa"/>
            <w:shd w:val="clear" w:color="auto" w:fill="F4F7F7"/>
          </w:tcPr>
          <w:p w:rsidR="00C36049" w:rsidRDefault="00AD6E7E">
            <w:pPr>
              <w:spacing w:after="20" w:line="252" w:lineRule="auto"/>
              <w:jc w:val="left"/>
            </w:pPr>
            <w:r>
              <w:rPr>
                <w:sz w:val="19"/>
              </w:rPr>
              <w:t xml:space="preserve">Suç şüphesi bulunan fiiller için SPKn m.115 uyarınca Cumhuriyet Başsavcılığına yazılı başvuru; bu </w:t>
            </w:r>
            <w:r>
              <w:rPr>
                <w:sz w:val="19"/>
              </w:rPr>
              <w:t>başvurunun mevcut soruşturma dosyasına eklenmesi</w:t>
            </w:r>
          </w:p>
        </w:tc>
        <w:tc>
          <w:tcPr>
            <w:tcW w:w="3402" w:type="dxa"/>
            <w:shd w:val="clear" w:color="auto" w:fill="F4F7F7"/>
          </w:tcPr>
          <w:p w:rsidR="00C36049" w:rsidRDefault="00AD6E7E">
            <w:pPr>
              <w:spacing w:after="20" w:line="252" w:lineRule="auto"/>
              <w:jc w:val="left"/>
            </w:pPr>
            <w:r>
              <w:rPr>
                <w:sz w:val="19"/>
              </w:rPr>
              <w:t>SPKn m.115</w:t>
            </w:r>
          </w:p>
        </w:tc>
      </w:tr>
      <w:tr w:rsidR="00C36049">
        <w:trPr>
          <w:jc w:val="center"/>
        </w:trPr>
        <w:tc>
          <w:tcPr>
            <w:tcW w:w="567" w:type="dxa"/>
          </w:tcPr>
          <w:p w:rsidR="00C36049" w:rsidRDefault="00AD6E7E">
            <w:pPr>
              <w:spacing w:after="20" w:line="252" w:lineRule="auto"/>
              <w:jc w:val="left"/>
            </w:pPr>
            <w:r>
              <w:rPr>
                <w:sz w:val="19"/>
              </w:rPr>
              <w:t>13</w:t>
            </w:r>
          </w:p>
        </w:tc>
        <w:tc>
          <w:tcPr>
            <w:tcW w:w="5272" w:type="dxa"/>
          </w:tcPr>
          <w:p w:rsidR="00C36049" w:rsidRDefault="00AD6E7E">
            <w:pPr>
              <w:spacing w:after="20" w:line="252" w:lineRule="auto"/>
              <w:jc w:val="left"/>
            </w:pPr>
            <w:r>
              <w:rPr>
                <w:sz w:val="19"/>
              </w:rPr>
              <w:t>İnceleme sonucunun ve varsa suç duyurusunun, mevzuatın izin verdiği ölçüde müvekkile bildirilmesi</w:t>
            </w:r>
          </w:p>
        </w:tc>
        <w:tc>
          <w:tcPr>
            <w:tcW w:w="3402" w:type="dxa"/>
          </w:tcPr>
          <w:p w:rsidR="00C36049" w:rsidRDefault="00AD6E7E">
            <w:pPr>
              <w:spacing w:after="20" w:line="252" w:lineRule="auto"/>
              <w:jc w:val="left"/>
            </w:pPr>
            <w:r>
              <w:rPr>
                <w:sz w:val="19"/>
              </w:rPr>
              <w:t>3071 m.7</w:t>
            </w:r>
          </w:p>
        </w:tc>
      </w:tr>
    </w:tbl>
    <w:p w:rsidR="00C36049" w:rsidRDefault="00C36049">
      <w:pPr>
        <w:spacing w:after="0"/>
      </w:pPr>
    </w:p>
    <w:p w:rsidR="00C36049" w:rsidRDefault="00AD6E7E">
      <w:pPr>
        <w:keepNext/>
        <w:pBdr>
          <w:bottom w:val="single" w:sz="6" w:space="1" w:color="0C4E54"/>
        </w:pBdr>
        <w:spacing w:before="240"/>
      </w:pPr>
      <w:r>
        <w:rPr>
          <w:b/>
          <w:color w:val="0C4E54"/>
          <w:sz w:val="23"/>
        </w:rPr>
        <w:t>IV. KAYITLARIN KORUNMASI</w:t>
      </w:r>
    </w:p>
    <w:p w:rsidR="00C36049" w:rsidRDefault="00AD6E7E">
      <w:r>
        <w:t xml:space="preserve">Tasfiye süreci fon varlıklarının satışını içerdiğinden; </w:t>
      </w:r>
      <w:r>
        <w:t>portföy, değerleme, emir ve saklama kayıtlarının kurucu, portföy saklayıcısı, dağıtıcı kuruluş, Borsa İstanbul, MKK ve Takasbank nezdinde muhafaza edilmesi için Kurulunuzca gerekli talimatın verilmesini talep ederiz.</w:t>
      </w:r>
    </w:p>
    <w:p w:rsidR="00C36049" w:rsidRDefault="00AD6E7E">
      <w:pPr>
        <w:keepNext/>
        <w:pBdr>
          <w:bottom w:val="single" w:sz="6" w:space="1" w:color="0C4E54"/>
        </w:pBdr>
        <w:spacing w:before="240"/>
      </w:pPr>
      <w:r>
        <w:rPr>
          <w:b/>
          <w:color w:val="0C4E54"/>
          <w:sz w:val="23"/>
        </w:rPr>
        <w:t>V. HUKUKİ NEDENLER</w:t>
      </w:r>
    </w:p>
    <w:p w:rsidR="00C36049" w:rsidRDefault="00AD6E7E">
      <w:r>
        <w:t xml:space="preserve">6362 sayılı Sermaye </w:t>
      </w:r>
      <w:r>
        <w:t>Piyasası Kanunu (özellikle m.52, m.56, m.88, m.96, m.103, m.106, m.107, m.110, m.115, m.128); III-52.1 sayılı Yatırım Fonlarına İlişkin Esaslar Tebliği; III-55.1 sayılı Portföy Yönetim Şirketleri ve Bu Şirketlerin Faaliyetlerine İlişkin Esaslar Tebliği; II</w:t>
      </w:r>
      <w:r>
        <w:t>I-56.1 sayılı Portföy Saklama Hizmetine ve Bu Hizmette Bulunacak Kuruluşlara İlişkin Esaslar Tebliği; Yatırım Fonlarına İlişkin Rehber; 3071 sayılı Dilekçe Hakkının Kullanılmasına Dair Kanun ve ilgili mevzuat.</w:t>
      </w:r>
    </w:p>
    <w:p w:rsidR="00C36049" w:rsidRDefault="00AD6E7E">
      <w:r>
        <w:br w:type="page"/>
      </w:r>
    </w:p>
    <w:p w:rsidR="00C36049" w:rsidRDefault="00AD6E7E">
      <w:pPr>
        <w:keepNext/>
        <w:pBdr>
          <w:bottom w:val="single" w:sz="6" w:space="1" w:color="0C4E54"/>
        </w:pBdr>
        <w:spacing w:before="240"/>
      </w:pPr>
      <w:r>
        <w:rPr>
          <w:b/>
          <w:color w:val="0C4E54"/>
          <w:sz w:val="23"/>
        </w:rPr>
        <w:lastRenderedPageBreak/>
        <w:t>VI. SONUÇ VE İSTEM</w:t>
      </w:r>
    </w:p>
    <w:p w:rsidR="00C36049" w:rsidRDefault="00AD6E7E">
      <w:pPr>
        <w:keepNext/>
      </w:pPr>
      <w:r>
        <w:t>Yukarıda açıklanan nedenl</w:t>
      </w:r>
      <w:r>
        <w:t>erle;</w:t>
      </w:r>
    </w:p>
    <w:p w:rsidR="00C36049" w:rsidRDefault="00AD6E7E">
      <w:pPr>
        <w:tabs>
          <w:tab w:val="left" w:pos="454"/>
        </w:tabs>
        <w:ind w:left="454" w:hanging="454"/>
      </w:pPr>
      <w:r>
        <w:rPr>
          <w:b/>
        </w:rPr>
        <w:t>1.</w:t>
      </w:r>
      <w:r>
        <w:rPr>
          <w:b/>
        </w:rPr>
        <w:tab/>
      </w:r>
      <w:r>
        <w:t>Başvurumuzun şikâyet ve ihbar olarak kabulü ile III. bölümde sayılan incelemelerin yapılmasına,</w:t>
      </w:r>
    </w:p>
    <w:p w:rsidR="00C36049" w:rsidRDefault="00AD6E7E">
      <w:pPr>
        <w:tabs>
          <w:tab w:val="left" w:pos="454"/>
        </w:tabs>
        <w:ind w:left="454" w:hanging="454"/>
      </w:pPr>
      <w:r>
        <w:rPr>
          <w:b/>
        </w:rPr>
        <w:t>2.</w:t>
      </w:r>
      <w:r>
        <w:rPr>
          <w:b/>
        </w:rPr>
        <w:tab/>
      </w:r>
      <w:r>
        <w:t>Kayıtların korunması için gerekli talimatın verilmesine,</w:t>
      </w:r>
    </w:p>
    <w:p w:rsidR="00C36049" w:rsidRDefault="00AD6E7E">
      <w:pPr>
        <w:tabs>
          <w:tab w:val="left" w:pos="454"/>
        </w:tabs>
        <w:ind w:left="454" w:hanging="454"/>
      </w:pPr>
      <w:r>
        <w:rPr>
          <w:b/>
        </w:rPr>
        <w:t>3.</w:t>
      </w:r>
      <w:r>
        <w:rPr>
          <w:b/>
        </w:rPr>
        <w:tab/>
      </w:r>
      <w:r>
        <w:t>Mevzuata aykırılık tespit edilmesi hâlinde sorumlular hakkında idari tedbir ve yaptırıml</w:t>
      </w:r>
      <w:r>
        <w:t>arın uygulanmasına,</w:t>
      </w:r>
    </w:p>
    <w:p w:rsidR="00C36049" w:rsidRDefault="00AD6E7E">
      <w:pPr>
        <w:tabs>
          <w:tab w:val="left" w:pos="454"/>
        </w:tabs>
        <w:ind w:left="454" w:hanging="454"/>
      </w:pPr>
      <w:r>
        <w:rPr>
          <w:b/>
        </w:rPr>
        <w:t>4.</w:t>
      </w:r>
      <w:r>
        <w:rPr>
          <w:b/>
        </w:rPr>
        <w:tab/>
      </w:r>
      <w:r>
        <w:t>Suç şüphesi bulunan fiiller bakımından SPKn m.115 uyarınca Cumhuriyet Başsavcılığına yazılı başvuruda bulunulmasına,</w:t>
      </w:r>
    </w:p>
    <w:p w:rsidR="00C36049" w:rsidRDefault="00AD6E7E">
      <w:pPr>
        <w:tabs>
          <w:tab w:val="left" w:pos="454"/>
        </w:tabs>
        <w:ind w:left="454" w:hanging="454"/>
      </w:pPr>
      <w:r>
        <w:rPr>
          <w:b/>
        </w:rPr>
        <w:t>5.</w:t>
      </w:r>
      <w:r>
        <w:rPr>
          <w:b/>
        </w:rPr>
        <w:tab/>
      </w:r>
      <w:r>
        <w:t>Başvurunun kayıt numarasının ve sonucunun vekil adresine / KEP adresine bildirilmesine</w:t>
      </w:r>
    </w:p>
    <w:p w:rsidR="00C36049" w:rsidRDefault="00AD6E7E">
      <w:pPr>
        <w:spacing w:after="120"/>
      </w:pPr>
      <w:r>
        <w:t>karar verilmesini saygılar</w:t>
      </w:r>
      <w:r>
        <w:t>ımızla arz ve talep ederiz.</w:t>
      </w:r>
    </w:p>
    <w:tbl>
      <w:tblPr>
        <w:tblStyle w:val="TabloKlavuzu"/>
        <w:tblW w:w="0" w:type="auto"/>
        <w:tblLook w:val="04A0" w:firstRow="1" w:lastRow="0" w:firstColumn="1" w:lastColumn="0" w:noHBand="0" w:noVBand="1"/>
      </w:tblPr>
      <w:tblGrid>
        <w:gridCol w:w="9242"/>
      </w:tblGrid>
      <w:tr w:rsidR="00C36049">
        <w:tc>
          <w:tcPr>
            <w:tcW w:w="9242" w:type="dxa"/>
            <w:shd w:val="clear" w:color="auto" w:fill="EEF3F3"/>
          </w:tcPr>
          <w:p w:rsidR="00C36049" w:rsidRDefault="00AD6E7E">
            <w:pPr>
              <w:spacing w:after="40"/>
            </w:pPr>
            <w:r>
              <w:rPr>
                <w:b/>
                <w:color w:val="0C4E54"/>
                <w:sz w:val="19"/>
              </w:rPr>
              <w:t xml:space="preserve">Saklı tutulan haklar: </w:t>
            </w:r>
            <w:r>
              <w:rPr>
                <w:sz w:val="19"/>
              </w:rPr>
              <w:t>İşbu başvuru, müvekkilin ilgililere karşı sahip olduğu tazminat, şikâyet, dava ve diğer tüm hukuki haklarından feragat anlamına gelmez; tüm hakları saklıdır.</w:t>
            </w:r>
          </w:p>
        </w:tc>
      </w:tr>
    </w:tbl>
    <w:p w:rsidR="00C36049" w:rsidRDefault="00C36049">
      <w:pPr>
        <w:spacing w:after="0"/>
      </w:pPr>
    </w:p>
    <w:p w:rsidR="00C36049" w:rsidRDefault="00AD6E7E">
      <w:pPr>
        <w:keepNext/>
        <w:spacing w:before="80" w:after="0"/>
        <w:jc w:val="right"/>
      </w:pPr>
      <w:r>
        <w:t>[Tarih]</w:t>
      </w:r>
    </w:p>
    <w:p w:rsidR="00C36049" w:rsidRDefault="00AD6E7E">
      <w:pPr>
        <w:keepNext/>
        <w:spacing w:after="0"/>
        <w:jc w:val="right"/>
      </w:pPr>
      <w:r>
        <w:t>Başvuran Vekili</w:t>
      </w:r>
    </w:p>
    <w:p w:rsidR="00C36049" w:rsidRDefault="00AD6E7E">
      <w:pPr>
        <w:keepNext/>
        <w:spacing w:after="0"/>
        <w:jc w:val="right"/>
      </w:pPr>
      <w:r>
        <w:rPr>
          <w:b/>
        </w:rPr>
        <w:t xml:space="preserve">Av. </w:t>
      </w:r>
      <w:r w:rsidR="00BA17FE">
        <w:rPr>
          <w:b/>
        </w:rPr>
        <w:t>………………..</w:t>
      </w:r>
    </w:p>
    <w:p w:rsidR="00C36049" w:rsidRDefault="00AD6E7E">
      <w:pPr>
        <w:jc w:val="right"/>
      </w:pPr>
      <w:r>
        <w:rPr>
          <w:color w:val="5A5957"/>
        </w:rPr>
        <w:t>[İmza]</w:t>
      </w:r>
    </w:p>
    <w:p w:rsidR="00C36049" w:rsidRDefault="00AD6E7E">
      <w:pPr>
        <w:keepNext/>
        <w:spacing w:after="40"/>
      </w:pPr>
      <w:r>
        <w:rPr>
          <w:b/>
        </w:rPr>
        <w:t>Ekler:</w:t>
      </w:r>
    </w:p>
    <w:p w:rsidR="00C36049" w:rsidRDefault="00AD6E7E">
      <w:pPr>
        <w:spacing w:after="20"/>
        <w:jc w:val="left"/>
      </w:pPr>
      <w:r>
        <w:t>Ek-1: Vekâletname örneği</w:t>
      </w:r>
    </w:p>
    <w:p w:rsidR="00C36049" w:rsidRDefault="00AD6E7E">
      <w:pPr>
        <w:spacing w:after="20"/>
        <w:jc w:val="left"/>
      </w:pPr>
      <w:r>
        <w:t>Ek-2: MKK pay sahipliği kaydı</w:t>
      </w:r>
    </w:p>
    <w:p w:rsidR="00C36049" w:rsidRDefault="00AD6E7E">
      <w:pPr>
        <w:spacing w:after="20"/>
        <w:jc w:val="left"/>
      </w:pPr>
      <w:r>
        <w:t>Ek-3: Banka / aracı kurum hesap ekstreleri</w:t>
      </w:r>
    </w:p>
    <w:p w:rsidR="00C36049" w:rsidRDefault="00AD6E7E">
      <w:pPr>
        <w:spacing w:after="20"/>
        <w:jc w:val="left"/>
      </w:pPr>
      <w:r>
        <w:t>Ek-4: Fon alım ve iade kayıtları ile iade talimatı</w:t>
      </w:r>
    </w:p>
    <w:p w:rsidR="00C36049" w:rsidRDefault="00AD6E7E">
      <w:pPr>
        <w:spacing w:after="20"/>
        <w:jc w:val="left"/>
      </w:pPr>
      <w:r>
        <w:t>Ek-5: Fon izahnamesi, içtüzük ve yatırımcı bilgi formu</w:t>
      </w:r>
    </w:p>
    <w:p w:rsidR="00C36049" w:rsidRDefault="00AD6E7E">
      <w:pPr>
        <w:spacing w:after="20"/>
        <w:jc w:val="left"/>
      </w:pPr>
      <w:r>
        <w:t>Ek-6: Zarar hesaplama tablosu</w:t>
      </w:r>
    </w:p>
    <w:p w:rsidR="00C36049" w:rsidRDefault="00AD6E7E">
      <w:r>
        <w:br w:type="page"/>
      </w:r>
    </w:p>
    <w:p w:rsidR="00BA17FE" w:rsidRDefault="00BA17FE">
      <w:pPr>
        <w:rPr>
          <w:b/>
          <w:color w:val="FF0000"/>
          <w:sz w:val="25"/>
        </w:rPr>
      </w:pPr>
    </w:p>
    <w:p w:rsidR="00C36049" w:rsidRPr="00BA17FE" w:rsidRDefault="00AD6E7E">
      <w:pPr>
        <w:rPr>
          <w:color w:val="C00000"/>
        </w:rPr>
      </w:pPr>
      <w:r w:rsidRPr="00BA17FE">
        <w:rPr>
          <w:b/>
          <w:color w:val="C00000"/>
          <w:sz w:val="25"/>
        </w:rPr>
        <w:t>KULLANIM NOT</w:t>
      </w:r>
      <w:r w:rsidRPr="00BA17FE">
        <w:rPr>
          <w:b/>
          <w:color w:val="C00000"/>
          <w:sz w:val="25"/>
        </w:rPr>
        <w:t>U — ŞİKÂYETİN HAZIRLANMASI VE TAKİBİ</w:t>
      </w:r>
    </w:p>
    <w:p w:rsidR="00C36049" w:rsidRPr="00BA17FE" w:rsidRDefault="00AD6E7E">
      <w:pPr>
        <w:rPr>
          <w:color w:val="C00000"/>
        </w:rPr>
      </w:pPr>
      <w:r w:rsidRPr="00BA17FE">
        <w:rPr>
          <w:color w:val="C00000"/>
          <w:sz w:val="19"/>
        </w:rPr>
        <w:t>Bu sayfa şikâyet dilekçesinin parçası değildir; göndermeden önce çıkarılmalıdır.</w:t>
      </w:r>
    </w:p>
    <w:p w:rsidR="00C36049" w:rsidRPr="00BA17FE" w:rsidRDefault="00AD6E7E">
      <w:pPr>
        <w:keepNext/>
        <w:spacing w:after="60"/>
        <w:rPr>
          <w:color w:val="C00000"/>
        </w:rPr>
      </w:pPr>
      <w:r w:rsidRPr="00BA17FE">
        <w:rPr>
          <w:b/>
          <w:color w:val="C00000"/>
        </w:rPr>
        <w:t>1. SPK başvurusundan ne beklenmeli?</w:t>
      </w:r>
    </w:p>
    <w:p w:rsidR="00C36049" w:rsidRPr="00BA17FE" w:rsidRDefault="00AD6E7E">
      <w:pPr>
        <w:rPr>
          <w:color w:val="C00000"/>
        </w:rPr>
      </w:pPr>
      <w:r w:rsidRPr="00BA17FE">
        <w:rPr>
          <w:color w:val="C00000"/>
        </w:rPr>
        <w:t>SPK yatırımcı zararını doğrudan tazmin etmez. Bu başvurunun değeri; ihlalin resmî olarak tespit edilme</w:t>
      </w:r>
      <w:r w:rsidRPr="00BA17FE">
        <w:rPr>
          <w:color w:val="C00000"/>
        </w:rPr>
        <w:t xml:space="preserve">si, kayıtların güvenceye alınması ve SPKn m.115 uyarınca savcılığa yazılı başvuru yapılmasıdır. </w:t>
      </w:r>
      <w:proofErr w:type="gramStart"/>
      <w:r w:rsidRPr="00BA17FE">
        <w:rPr>
          <w:color w:val="C00000"/>
        </w:rPr>
        <w:t>Kurulun tespitleri, tazminat davasında ve ceza dosyasında en güçlü delillerden biri olur.</w:t>
      </w:r>
      <w:proofErr w:type="gramEnd"/>
    </w:p>
    <w:p w:rsidR="00C36049" w:rsidRPr="00BA17FE" w:rsidRDefault="00BA17FE">
      <w:pPr>
        <w:keepNext/>
        <w:spacing w:after="60"/>
        <w:rPr>
          <w:color w:val="C00000"/>
        </w:rPr>
      </w:pPr>
      <w:r w:rsidRPr="00BA17FE">
        <w:rPr>
          <w:b/>
          <w:color w:val="C00000"/>
        </w:rPr>
        <w:t>2</w:t>
      </w:r>
      <w:r w:rsidR="00AD6E7E" w:rsidRPr="00BA17FE">
        <w:rPr>
          <w:b/>
          <w:color w:val="C00000"/>
        </w:rPr>
        <w:t>. Başvuru kanalları</w:t>
      </w:r>
    </w:p>
    <w:p w:rsidR="00C36049" w:rsidRPr="00BA17FE" w:rsidRDefault="00AD6E7E">
      <w:pPr>
        <w:pStyle w:val="ListeMaddemi"/>
        <w:spacing w:after="20"/>
        <w:jc w:val="left"/>
        <w:rPr>
          <w:color w:val="C00000"/>
        </w:rPr>
      </w:pPr>
      <w:r w:rsidRPr="00BA17FE">
        <w:rPr>
          <w:color w:val="C00000"/>
        </w:rPr>
        <w:t>SPK inter</w:t>
      </w:r>
      <w:r w:rsidRPr="00BA17FE">
        <w:rPr>
          <w:color w:val="C00000"/>
        </w:rPr>
        <w:t>net sitesindeki “Şikâyet ve İhbar Bildirimi” bölümü veya e-Devlet üzerindeki SPK hizmetleri (https://spk.gov.tr/e-hizmetler/e-devlet-uzerinden-sunulan-hizmetler),</w:t>
      </w:r>
    </w:p>
    <w:p w:rsidR="00C36049" w:rsidRPr="00BA17FE" w:rsidRDefault="00AD6E7E">
      <w:pPr>
        <w:pStyle w:val="ListeMaddemi"/>
        <w:spacing w:after="20"/>
        <w:jc w:val="left"/>
        <w:rPr>
          <w:color w:val="C00000"/>
        </w:rPr>
      </w:pPr>
      <w:r w:rsidRPr="00BA17FE">
        <w:rPr>
          <w:color w:val="C00000"/>
        </w:rPr>
        <w:t>KEP veya iadeli taahhütlü posta ile Kurul merkez adresine yazılı başvuru,</w:t>
      </w:r>
    </w:p>
    <w:p w:rsidR="00C36049" w:rsidRPr="00BA17FE" w:rsidRDefault="00AD6E7E">
      <w:pPr>
        <w:pStyle w:val="ListeMaddemi"/>
        <w:spacing w:after="20"/>
        <w:jc w:val="left"/>
        <w:rPr>
          <w:color w:val="C00000"/>
        </w:rPr>
      </w:pPr>
      <w:r w:rsidRPr="00BA17FE">
        <w:rPr>
          <w:color w:val="C00000"/>
        </w:rPr>
        <w:t>CİMER üzerinden baş</w:t>
      </w:r>
      <w:r w:rsidRPr="00BA17FE">
        <w:rPr>
          <w:color w:val="C00000"/>
        </w:rPr>
        <w:t>vuru (başvuru numarası saklanmalıdır).</w:t>
      </w:r>
    </w:p>
    <w:p w:rsidR="00C36049" w:rsidRPr="00BA17FE" w:rsidRDefault="00BA17FE">
      <w:pPr>
        <w:keepNext/>
        <w:spacing w:after="60"/>
        <w:rPr>
          <w:color w:val="C00000"/>
        </w:rPr>
      </w:pPr>
      <w:r w:rsidRPr="00BA17FE">
        <w:rPr>
          <w:b/>
          <w:color w:val="C00000"/>
        </w:rPr>
        <w:t>3</w:t>
      </w:r>
      <w:r w:rsidR="00AD6E7E" w:rsidRPr="00BA17FE">
        <w:rPr>
          <w:b/>
          <w:color w:val="C00000"/>
        </w:rPr>
        <w:t>. Dikkat edilecekler</w:t>
      </w:r>
    </w:p>
    <w:tbl>
      <w:tblPr>
        <w:tblStyle w:val="TabloKlavuzu"/>
        <w:tblW w:w="0" w:type="auto"/>
        <w:jc w:val="center"/>
        <w:tblLayout w:type="fixed"/>
        <w:tblLook w:val="04A0" w:firstRow="1" w:lastRow="0" w:firstColumn="1" w:lastColumn="0" w:noHBand="0" w:noVBand="1"/>
      </w:tblPr>
      <w:tblGrid>
        <w:gridCol w:w="2041"/>
        <w:gridCol w:w="7200"/>
      </w:tblGrid>
      <w:tr w:rsidR="00BA17FE" w:rsidRPr="00BA17FE">
        <w:trPr>
          <w:jc w:val="center"/>
        </w:trPr>
        <w:tc>
          <w:tcPr>
            <w:tcW w:w="2041" w:type="dxa"/>
            <w:shd w:val="clear" w:color="auto" w:fill="0C4E54"/>
          </w:tcPr>
          <w:p w:rsidR="00C36049" w:rsidRPr="00BA17FE" w:rsidRDefault="00AD6E7E">
            <w:pPr>
              <w:rPr>
                <w:color w:val="C00000"/>
              </w:rPr>
            </w:pPr>
            <w:r w:rsidRPr="00BA17FE">
              <w:rPr>
                <w:b/>
                <w:color w:val="C00000"/>
                <w:sz w:val="19"/>
              </w:rPr>
              <w:t>Konu</w:t>
            </w:r>
          </w:p>
        </w:tc>
        <w:tc>
          <w:tcPr>
            <w:tcW w:w="7200" w:type="dxa"/>
            <w:shd w:val="clear" w:color="auto" w:fill="0C4E54"/>
          </w:tcPr>
          <w:p w:rsidR="00C36049" w:rsidRPr="00BA17FE" w:rsidRDefault="00AD6E7E">
            <w:pPr>
              <w:rPr>
                <w:color w:val="C00000"/>
              </w:rPr>
            </w:pPr>
            <w:r w:rsidRPr="00BA17FE">
              <w:rPr>
                <w:b/>
                <w:color w:val="C00000"/>
                <w:sz w:val="19"/>
              </w:rPr>
              <w:t>Açıklama</w:t>
            </w:r>
          </w:p>
        </w:tc>
      </w:tr>
      <w:tr w:rsidR="00BA17FE" w:rsidRPr="00BA17FE">
        <w:trPr>
          <w:jc w:val="center"/>
        </w:trPr>
        <w:tc>
          <w:tcPr>
            <w:tcW w:w="2041" w:type="dxa"/>
          </w:tcPr>
          <w:p w:rsidR="00C36049" w:rsidRPr="00BA17FE" w:rsidRDefault="00AD6E7E">
            <w:pPr>
              <w:spacing w:after="20" w:line="252" w:lineRule="auto"/>
              <w:jc w:val="left"/>
              <w:rPr>
                <w:color w:val="C00000"/>
              </w:rPr>
            </w:pPr>
            <w:proofErr w:type="spellStart"/>
            <w:r w:rsidRPr="00BA17FE">
              <w:rPr>
                <w:color w:val="C00000"/>
                <w:sz w:val="19"/>
              </w:rPr>
              <w:t>Somutlaştırma</w:t>
            </w:r>
            <w:proofErr w:type="spellEnd"/>
          </w:p>
        </w:tc>
        <w:tc>
          <w:tcPr>
            <w:tcW w:w="7200" w:type="dxa"/>
          </w:tcPr>
          <w:p w:rsidR="00C36049" w:rsidRPr="00BA17FE" w:rsidRDefault="00AD6E7E">
            <w:pPr>
              <w:spacing w:after="20" w:line="252" w:lineRule="auto"/>
              <w:jc w:val="left"/>
              <w:rPr>
                <w:color w:val="C00000"/>
              </w:rPr>
            </w:pPr>
            <w:r w:rsidRPr="00BA17FE">
              <w:rPr>
                <w:color w:val="C00000"/>
                <w:sz w:val="19"/>
              </w:rPr>
              <w:t xml:space="preserve">3–8. paragraflardaki köşeli parantezli alanlara pay kodu, oran, tarih ve iade saati gibi somut bilgiler eklenmelidir. Genel ifadelerle yapılan şikâyetler çoğu zaman </w:t>
            </w:r>
            <w:r w:rsidRPr="00BA17FE">
              <w:rPr>
                <w:color w:val="C00000"/>
                <w:sz w:val="19"/>
              </w:rPr>
              <w:t>yalnızca kayda alınır.</w:t>
            </w:r>
          </w:p>
        </w:tc>
      </w:tr>
      <w:tr w:rsidR="00BA17FE" w:rsidRPr="00BA17FE">
        <w:trPr>
          <w:jc w:val="center"/>
        </w:trPr>
        <w:tc>
          <w:tcPr>
            <w:tcW w:w="2041" w:type="dxa"/>
            <w:shd w:val="clear" w:color="auto" w:fill="F4F7F7"/>
          </w:tcPr>
          <w:p w:rsidR="00C36049" w:rsidRPr="00BA17FE" w:rsidRDefault="00AD6E7E">
            <w:pPr>
              <w:spacing w:after="20" w:line="252" w:lineRule="auto"/>
              <w:jc w:val="left"/>
              <w:rPr>
                <w:color w:val="C00000"/>
              </w:rPr>
            </w:pPr>
            <w:proofErr w:type="spellStart"/>
            <w:r w:rsidRPr="00BA17FE">
              <w:rPr>
                <w:color w:val="C00000"/>
                <w:sz w:val="19"/>
              </w:rPr>
              <w:t>Cevap</w:t>
            </w:r>
            <w:proofErr w:type="spellEnd"/>
            <w:r w:rsidRPr="00BA17FE">
              <w:rPr>
                <w:color w:val="C00000"/>
                <w:sz w:val="19"/>
              </w:rPr>
              <w:t xml:space="preserve"> </w:t>
            </w:r>
            <w:proofErr w:type="spellStart"/>
            <w:r w:rsidRPr="00BA17FE">
              <w:rPr>
                <w:color w:val="C00000"/>
                <w:sz w:val="19"/>
              </w:rPr>
              <w:t>süresi</w:t>
            </w:r>
            <w:proofErr w:type="spellEnd"/>
          </w:p>
        </w:tc>
        <w:tc>
          <w:tcPr>
            <w:tcW w:w="7200" w:type="dxa"/>
            <w:shd w:val="clear" w:color="auto" w:fill="F4F7F7"/>
          </w:tcPr>
          <w:p w:rsidR="00C36049" w:rsidRPr="00BA17FE" w:rsidRDefault="00AD6E7E">
            <w:pPr>
              <w:spacing w:after="20" w:line="252" w:lineRule="auto"/>
              <w:jc w:val="left"/>
              <w:rPr>
                <w:color w:val="C00000"/>
              </w:rPr>
            </w:pPr>
            <w:r w:rsidRPr="00BA17FE">
              <w:rPr>
                <w:color w:val="C00000"/>
                <w:sz w:val="19"/>
              </w:rPr>
              <w:t>3071 sayılı Kanun m.7 uyarınca başvurunun sonucu veya durumu en geç 30 gün içinde bildirilmelidir. Bu süre içinde cevap gelmezse bilgi edinme başvurusuyla durum sorulabilir.</w:t>
            </w:r>
          </w:p>
        </w:tc>
      </w:tr>
      <w:tr w:rsidR="00BA17FE" w:rsidRPr="00BA17FE">
        <w:trPr>
          <w:jc w:val="center"/>
        </w:trPr>
        <w:tc>
          <w:tcPr>
            <w:tcW w:w="2041" w:type="dxa"/>
          </w:tcPr>
          <w:p w:rsidR="00C36049" w:rsidRPr="00BA17FE" w:rsidRDefault="00AD6E7E">
            <w:pPr>
              <w:spacing w:after="20" w:line="252" w:lineRule="auto"/>
              <w:jc w:val="left"/>
              <w:rPr>
                <w:color w:val="C00000"/>
              </w:rPr>
            </w:pPr>
            <w:proofErr w:type="spellStart"/>
            <w:r w:rsidRPr="00BA17FE">
              <w:rPr>
                <w:color w:val="C00000"/>
                <w:sz w:val="19"/>
              </w:rPr>
              <w:t>Savcılık</w:t>
            </w:r>
            <w:proofErr w:type="spellEnd"/>
            <w:r w:rsidRPr="00BA17FE">
              <w:rPr>
                <w:color w:val="C00000"/>
                <w:sz w:val="19"/>
              </w:rPr>
              <w:t xml:space="preserve"> </w:t>
            </w:r>
            <w:proofErr w:type="spellStart"/>
            <w:r w:rsidRPr="00BA17FE">
              <w:rPr>
                <w:color w:val="C00000"/>
                <w:sz w:val="19"/>
              </w:rPr>
              <w:t>dosyası</w:t>
            </w:r>
            <w:proofErr w:type="spellEnd"/>
          </w:p>
        </w:tc>
        <w:tc>
          <w:tcPr>
            <w:tcW w:w="7200" w:type="dxa"/>
          </w:tcPr>
          <w:p w:rsidR="00C36049" w:rsidRPr="00BA17FE" w:rsidRDefault="00AD6E7E">
            <w:pPr>
              <w:spacing w:after="20" w:line="252" w:lineRule="auto"/>
              <w:jc w:val="left"/>
              <w:rPr>
                <w:color w:val="C00000"/>
              </w:rPr>
            </w:pPr>
            <w:r w:rsidRPr="00BA17FE">
              <w:rPr>
                <w:color w:val="C00000"/>
                <w:sz w:val="19"/>
              </w:rPr>
              <w:t xml:space="preserve">SPK başvurusundan bağımsız </w:t>
            </w:r>
            <w:r w:rsidRPr="00BA17FE">
              <w:rPr>
                <w:color w:val="C00000"/>
                <w:sz w:val="19"/>
              </w:rPr>
              <w:t>olarak İstanbul Cumhuriyet Başsavcılığı’na şikâyet dilekçesi verilmesi ve soruşturmaya müşteki olarak katılma talebinde bulunulması tavsiye edilir.</w:t>
            </w:r>
          </w:p>
        </w:tc>
      </w:tr>
      <w:tr w:rsidR="00BA17FE" w:rsidRPr="00BA17FE">
        <w:trPr>
          <w:jc w:val="center"/>
        </w:trPr>
        <w:tc>
          <w:tcPr>
            <w:tcW w:w="2041" w:type="dxa"/>
            <w:shd w:val="clear" w:color="auto" w:fill="F4F7F7"/>
          </w:tcPr>
          <w:p w:rsidR="00C36049" w:rsidRPr="00BA17FE" w:rsidRDefault="00AD6E7E">
            <w:pPr>
              <w:spacing w:after="20" w:line="252" w:lineRule="auto"/>
              <w:jc w:val="left"/>
              <w:rPr>
                <w:color w:val="C00000"/>
              </w:rPr>
            </w:pPr>
            <w:proofErr w:type="spellStart"/>
            <w:r w:rsidRPr="00BA17FE">
              <w:rPr>
                <w:color w:val="C00000"/>
                <w:sz w:val="19"/>
              </w:rPr>
              <w:t>Tutarlılık</w:t>
            </w:r>
            <w:proofErr w:type="spellEnd"/>
          </w:p>
        </w:tc>
        <w:tc>
          <w:tcPr>
            <w:tcW w:w="7200" w:type="dxa"/>
            <w:shd w:val="clear" w:color="auto" w:fill="F4F7F7"/>
          </w:tcPr>
          <w:p w:rsidR="00C36049" w:rsidRPr="00BA17FE" w:rsidRDefault="00AD6E7E">
            <w:pPr>
              <w:spacing w:after="20" w:line="252" w:lineRule="auto"/>
              <w:jc w:val="left"/>
              <w:rPr>
                <w:color w:val="C00000"/>
              </w:rPr>
            </w:pPr>
            <w:r w:rsidRPr="00BA17FE">
              <w:rPr>
                <w:color w:val="C00000"/>
                <w:sz w:val="19"/>
              </w:rPr>
              <w:t>SPK şikâyeti, ihtarname, tasfiye yetkilisine başvuru ve bilgi edinme başvurusundaki tarih, tutar</w:t>
            </w:r>
            <w:r w:rsidRPr="00BA17FE">
              <w:rPr>
                <w:color w:val="C00000"/>
                <w:sz w:val="19"/>
              </w:rPr>
              <w:t xml:space="preserve"> ve pay adetleri birbiriyle aynı olmalıdır.</w:t>
            </w:r>
          </w:p>
        </w:tc>
      </w:tr>
    </w:tbl>
    <w:p w:rsidR="00C36049" w:rsidRPr="00BA17FE" w:rsidRDefault="00C36049">
      <w:pPr>
        <w:spacing w:after="0"/>
        <w:rPr>
          <w:color w:val="C00000"/>
        </w:rPr>
      </w:pPr>
    </w:p>
    <w:p w:rsidR="00C36049" w:rsidRDefault="00C36049" w:rsidP="00BA17FE">
      <w:pPr>
        <w:pStyle w:val="ListeMaddemi"/>
        <w:numPr>
          <w:ilvl w:val="0"/>
          <w:numId w:val="0"/>
        </w:numPr>
        <w:spacing w:after="20"/>
        <w:ind w:left="360"/>
        <w:jc w:val="left"/>
      </w:pPr>
    </w:p>
    <w:sectPr w:rsidR="00C36049" w:rsidSect="00034616">
      <w:footerReference w:type="default" r:id="rId9"/>
      <w:pgSz w:w="11906" w:h="16838"/>
      <w:pgMar w:top="1247" w:right="124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E7E" w:rsidRDefault="00AD6E7E">
      <w:pPr>
        <w:spacing w:after="0" w:line="240" w:lineRule="auto"/>
      </w:pPr>
      <w:r>
        <w:separator/>
      </w:r>
    </w:p>
  </w:endnote>
  <w:endnote w:type="continuationSeparator" w:id="0">
    <w:p w:rsidR="00AD6E7E" w:rsidRDefault="00AD6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049" w:rsidRDefault="00AD6E7E">
    <w:pPr>
      <w:pStyle w:val="Altbilgi"/>
      <w:jc w:val="center"/>
    </w:pPr>
    <w:r>
      <w:rPr>
        <w:color w:val="5A5957"/>
        <w:sz w:val="16"/>
      </w:rPr>
      <w:t xml:space="preserve">SPK Şikâyet, İnceleme ve Denetim Talebi  |  Hazırlayan: Av. Şahin Baran  |  Sayfa </w:t>
    </w:r>
    <w:r>
      <w:fldChar w:fldCharType="begin"/>
    </w:r>
    <w:r>
      <w:instrText>PAGE</w:instrText>
    </w:r>
    <w:r>
      <w:fldChar w:fldCharType="separate"/>
    </w:r>
    <w:r w:rsidR="00BA17F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E7E" w:rsidRDefault="00AD6E7E">
      <w:pPr>
        <w:spacing w:after="0" w:line="240" w:lineRule="auto"/>
      </w:pPr>
      <w:r>
        <w:separator/>
      </w:r>
    </w:p>
  </w:footnote>
  <w:footnote w:type="continuationSeparator" w:id="0">
    <w:p w:rsidR="00AD6E7E" w:rsidRDefault="00AD6E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AD6E7E"/>
    <w:rsid w:val="00B47730"/>
    <w:rsid w:val="00BA17FE"/>
    <w:rsid w:val="00C3604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jc w:val="both"/>
    </w:pPr>
    <w:rPr>
      <w:rFonts w:ascii="Calibri" w:eastAsia="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02179-224F-4A77-B1CC-D32422300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Macbook</cp:lastModifiedBy>
  <cp:revision>2</cp:revision>
  <dcterms:created xsi:type="dcterms:W3CDTF">2013-12-23T23:15:00Z</dcterms:created>
  <dcterms:modified xsi:type="dcterms:W3CDTF">2026-09-23T13:03:00Z</dcterms:modified>
  <cp:category/>
</cp:coreProperties>
</file>