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EFD" w:rsidRDefault="00243583">
      <w:pPr>
        <w:spacing w:after="40"/>
        <w:jc w:val="center"/>
      </w:pPr>
      <w:r>
        <w:rPr>
          <w:b/>
          <w:color w:val="5A5957"/>
          <w:sz w:val="20"/>
        </w:rPr>
        <w:t>HUKUKİ DEĞERLENDİRME VE DAVA DİLEKÇESİ TASLAĞI</w:t>
      </w:r>
    </w:p>
    <w:p w:rsidR="004B5EFD" w:rsidRDefault="00243583">
      <w:pPr>
        <w:spacing w:after="40"/>
        <w:jc w:val="center"/>
      </w:pPr>
      <w:r>
        <w:rPr>
          <w:b/>
          <w:color w:val="0C4E54"/>
          <w:sz w:val="32"/>
        </w:rPr>
        <w:t>SPK’NIN TASFİYE KARARINA KARŞI İDARİ YARGI YOLU</w:t>
      </w:r>
    </w:p>
    <w:p w:rsidR="004B5EFD" w:rsidRDefault="00243583">
      <w:pPr>
        <w:spacing w:after="40"/>
        <w:jc w:val="center"/>
      </w:pPr>
      <w:r>
        <w:rPr>
          <w:sz w:val="21"/>
        </w:rPr>
        <w:t>17.09.2026 tarih ve 57/1708 sayılı karar ile 20.09.2026 tarih ve 59/1710 sayılı karar</w:t>
      </w:r>
    </w:p>
    <w:p w:rsidR="004B5EFD" w:rsidRDefault="00243583">
      <w:pPr>
        <w:spacing w:after="200"/>
        <w:jc w:val="center"/>
      </w:pPr>
      <w:r>
        <w:rPr>
          <w:color w:val="5A5957"/>
          <w:sz w:val="19"/>
        </w:rPr>
        <w:t>Hazırlayan: Av. Şahin Baran  |  23 Eylül 2026</w:t>
      </w:r>
    </w:p>
    <w:p w:rsidR="004B5EFD" w:rsidRDefault="00243583">
      <w:pPr>
        <w:keepNext/>
        <w:pBdr>
          <w:bottom w:val="single" w:sz="6" w:space="1" w:color="0C4E54"/>
        </w:pBdr>
        <w:spacing w:before="240"/>
      </w:pPr>
      <w:r>
        <w:rPr>
          <w:b/>
          <w:color w:val="0C4E54"/>
          <w:sz w:val="23"/>
        </w:rPr>
        <w:t>BÖLÜM A — ÖN DEĞERLENDİRME</w:t>
      </w:r>
    </w:p>
    <w:p w:rsidR="004B5EFD" w:rsidRDefault="00243583">
      <w:r>
        <w:t>Tasfiye kararının iptali her yatırımcı için kendiliğinden doğru dava değildir. Tasfiye, yatırımcının fondaki varlığını nakde çevirerek ödemenin tek hukuki yoludur; kararın bütünüyle ve geriye etkili biçimde ortadan kalkması yatırımcıyı daha belirsiz bir du</w:t>
      </w:r>
      <w:r>
        <w:t>ruma sokabilir. Bu nedenle dava; Kurulun yetkisini reddeden değil, somut kararın ve özellikle yatırımcı aleyhine sonuç doğuran usul ve esasların hukuka uygunluğunun denetimini isteyen biçimde kurulmuştur.</w:t>
      </w:r>
    </w:p>
    <w:p w:rsidR="004B5EFD" w:rsidRDefault="00243583">
      <w:pPr>
        <w:keepNext/>
        <w:spacing w:after="60"/>
      </w:pPr>
      <w:r>
        <w:rPr>
          <w:b/>
          <w:color w:val="0C4E54"/>
        </w:rPr>
        <w:t>1. Dava açmadan önce cevaplanması gereken sorular</w:t>
      </w:r>
    </w:p>
    <w:tbl>
      <w:tblPr>
        <w:tblStyle w:val="TabloKlavuzu"/>
        <w:tblW w:w="0" w:type="auto"/>
        <w:jc w:val="center"/>
        <w:tblLayout w:type="fixed"/>
        <w:tblLook w:val="04A0" w:firstRow="1" w:lastRow="0" w:firstColumn="1" w:lastColumn="0" w:noHBand="0" w:noVBand="1"/>
      </w:tblPr>
      <w:tblGrid>
        <w:gridCol w:w="2608"/>
        <w:gridCol w:w="6633"/>
      </w:tblGrid>
      <w:tr w:rsidR="004B5EFD">
        <w:trPr>
          <w:jc w:val="center"/>
        </w:trPr>
        <w:tc>
          <w:tcPr>
            <w:tcW w:w="2608" w:type="dxa"/>
            <w:shd w:val="clear" w:color="auto" w:fill="0C4E54"/>
          </w:tcPr>
          <w:p w:rsidR="004B5EFD" w:rsidRDefault="00243583">
            <w:r>
              <w:rPr>
                <w:b/>
                <w:color w:val="FFFFFF"/>
                <w:sz w:val="19"/>
              </w:rPr>
              <w:t>S</w:t>
            </w:r>
            <w:r>
              <w:rPr>
                <w:b/>
                <w:color w:val="FFFFFF"/>
                <w:sz w:val="19"/>
              </w:rPr>
              <w:t>oru</w:t>
            </w:r>
          </w:p>
        </w:tc>
        <w:tc>
          <w:tcPr>
            <w:tcW w:w="6633" w:type="dxa"/>
            <w:shd w:val="clear" w:color="auto" w:fill="0C4E54"/>
          </w:tcPr>
          <w:p w:rsidR="004B5EFD" w:rsidRDefault="00243583">
            <w:r>
              <w:rPr>
                <w:b/>
                <w:color w:val="FFFFFF"/>
                <w:sz w:val="19"/>
              </w:rPr>
              <w:t>Değerlendirme</w:t>
            </w:r>
          </w:p>
        </w:tc>
      </w:tr>
      <w:tr w:rsidR="004B5EFD">
        <w:trPr>
          <w:jc w:val="center"/>
        </w:trPr>
        <w:tc>
          <w:tcPr>
            <w:tcW w:w="2608" w:type="dxa"/>
          </w:tcPr>
          <w:p w:rsidR="004B5EFD" w:rsidRDefault="00243583">
            <w:pPr>
              <w:spacing w:after="20" w:line="252" w:lineRule="auto"/>
              <w:jc w:val="left"/>
            </w:pPr>
            <w:r>
              <w:rPr>
                <w:sz w:val="19"/>
              </w:rPr>
              <w:t>Yatırımcının dava açma ehliyeti var mı?</w:t>
            </w:r>
          </w:p>
        </w:tc>
        <w:tc>
          <w:tcPr>
            <w:tcW w:w="6633" w:type="dxa"/>
          </w:tcPr>
          <w:p w:rsidR="004B5EFD" w:rsidRDefault="00243583">
            <w:pPr>
              <w:spacing w:after="20" w:line="252" w:lineRule="auto"/>
              <w:jc w:val="left"/>
            </w:pPr>
            <w:r>
              <w:rPr>
                <w:sz w:val="19"/>
              </w:rPr>
              <w:t>Evet. İYUK m.2/1-a uyarınca iptal davası için menfaat ihlali yeterlidir. Tasfiye kararı, katılma payı sahibinin fondaki payını, iade hakkını ve ödeme zamanını doğrudan etkilediğinden kişisel, meşru</w:t>
            </w:r>
            <w:r>
              <w:rPr>
                <w:sz w:val="19"/>
              </w:rPr>
              <w:t xml:space="preserve"> ve güncel menfaat ilişkisi bulunmaktadır.</w:t>
            </w:r>
          </w:p>
        </w:tc>
      </w:tr>
      <w:tr w:rsidR="004B5EFD">
        <w:trPr>
          <w:jc w:val="center"/>
        </w:trPr>
        <w:tc>
          <w:tcPr>
            <w:tcW w:w="2608" w:type="dxa"/>
            <w:shd w:val="clear" w:color="auto" w:fill="F4F7F7"/>
          </w:tcPr>
          <w:p w:rsidR="004B5EFD" w:rsidRDefault="00243583">
            <w:pPr>
              <w:spacing w:after="20" w:line="252" w:lineRule="auto"/>
              <w:jc w:val="left"/>
            </w:pPr>
            <w:r>
              <w:rPr>
                <w:sz w:val="19"/>
              </w:rPr>
              <w:t>Hangi karar dava konusu edilecek?</w:t>
            </w:r>
          </w:p>
        </w:tc>
        <w:tc>
          <w:tcPr>
            <w:tcW w:w="6633" w:type="dxa"/>
            <w:shd w:val="clear" w:color="auto" w:fill="F4F7F7"/>
          </w:tcPr>
          <w:p w:rsidR="004B5EFD" w:rsidRDefault="00243583">
            <w:pPr>
              <w:spacing w:after="20" w:line="252" w:lineRule="auto"/>
              <w:jc w:val="left"/>
            </w:pPr>
            <w:r>
              <w:rPr>
                <w:sz w:val="19"/>
              </w:rPr>
              <w:t xml:space="preserve">Kurul Karar Organı’nın 17.09.2026 tarih ve 57/1708 sayılı kararı (2026/60 ve 2026/61 sayılı Bültenler) ve ekindeki tasfiye usul ve esasları; ayrıca 20.09.2026 tarih ve 59/1710 </w:t>
            </w:r>
            <w:r>
              <w:rPr>
                <w:sz w:val="19"/>
              </w:rPr>
              <w:t>sayılı süre uzatım kararı (2026/62 sayılı Bülten). Dava, müvekkilin fonu ile sınırlı tutulmalıdır.</w:t>
            </w:r>
          </w:p>
        </w:tc>
      </w:tr>
      <w:tr w:rsidR="004B5EFD">
        <w:trPr>
          <w:jc w:val="center"/>
        </w:trPr>
        <w:tc>
          <w:tcPr>
            <w:tcW w:w="2608" w:type="dxa"/>
          </w:tcPr>
          <w:p w:rsidR="004B5EFD" w:rsidRDefault="00243583">
            <w:pPr>
              <w:spacing w:after="20" w:line="252" w:lineRule="auto"/>
              <w:jc w:val="left"/>
            </w:pPr>
            <w:r>
              <w:rPr>
                <w:sz w:val="19"/>
              </w:rPr>
              <w:t>İşlemin niteliği nedir?</w:t>
            </w:r>
          </w:p>
        </w:tc>
        <w:tc>
          <w:tcPr>
            <w:tcW w:w="6633" w:type="dxa"/>
          </w:tcPr>
          <w:p w:rsidR="004B5EFD" w:rsidRDefault="00243583">
            <w:pPr>
              <w:spacing w:after="20" w:line="252" w:lineRule="auto"/>
              <w:jc w:val="left"/>
            </w:pPr>
            <w:r>
              <w:rPr>
                <w:sz w:val="19"/>
              </w:rPr>
              <w:t xml:space="preserve">Karar, belirli kurucuların belirli fonlarına yöneldiğinden ağırlıklı olarak bireysel işlem niteliğindedir; ekindeki usul ve esaslar </w:t>
            </w:r>
            <w:r>
              <w:rPr>
                <w:sz w:val="19"/>
              </w:rPr>
              <w:t>ise çok sayıda yatırımcıya uygulanan genel kurallar içermektedir. Bu ayrım yetkili mahkemenin belirlenmesinde önemlidir (bkz. Bölüm C).</w:t>
            </w:r>
          </w:p>
        </w:tc>
      </w:tr>
      <w:tr w:rsidR="004B5EFD">
        <w:trPr>
          <w:jc w:val="center"/>
        </w:trPr>
        <w:tc>
          <w:tcPr>
            <w:tcW w:w="2608" w:type="dxa"/>
            <w:shd w:val="clear" w:color="auto" w:fill="F4F7F7"/>
          </w:tcPr>
          <w:p w:rsidR="004B5EFD" w:rsidRDefault="00243583">
            <w:pPr>
              <w:spacing w:after="20" w:line="252" w:lineRule="auto"/>
              <w:jc w:val="left"/>
            </w:pPr>
            <w:r>
              <w:rPr>
                <w:sz w:val="19"/>
              </w:rPr>
              <w:t>İptal mi, tam yargı mı?</w:t>
            </w:r>
          </w:p>
        </w:tc>
        <w:tc>
          <w:tcPr>
            <w:tcW w:w="6633" w:type="dxa"/>
            <w:shd w:val="clear" w:color="auto" w:fill="F4F7F7"/>
          </w:tcPr>
          <w:p w:rsidR="004B5EFD" w:rsidRDefault="00243583">
            <w:pPr>
              <w:spacing w:after="20" w:line="252" w:lineRule="auto"/>
              <w:jc w:val="left"/>
            </w:pPr>
            <w:r>
              <w:rPr>
                <w:sz w:val="19"/>
              </w:rPr>
              <w:t>Kararın hukuka aykırılığı için iptal davası; Kurulun gözetim ve denetim görevini zamanında yeri</w:t>
            </w:r>
            <w:r>
              <w:rPr>
                <w:sz w:val="19"/>
              </w:rPr>
              <w:t>ne getirmemesinden doğan zarar için tam yargı davası. İYUK m.12 uyarınca iptal davası sonrasında tam yargı davası açılabilir; bu dilekçede tazminat hakkı saklı tutulmuştur.</w:t>
            </w:r>
          </w:p>
        </w:tc>
      </w:tr>
      <w:tr w:rsidR="004B5EFD">
        <w:trPr>
          <w:jc w:val="center"/>
        </w:trPr>
        <w:tc>
          <w:tcPr>
            <w:tcW w:w="2608" w:type="dxa"/>
          </w:tcPr>
          <w:p w:rsidR="004B5EFD" w:rsidRDefault="00243583">
            <w:pPr>
              <w:spacing w:after="20" w:line="252" w:lineRule="auto"/>
              <w:jc w:val="left"/>
            </w:pPr>
            <w:r>
              <w:rPr>
                <w:sz w:val="19"/>
              </w:rPr>
              <w:t>Dava açma süresi ne zaman başladı?</w:t>
            </w:r>
          </w:p>
        </w:tc>
        <w:tc>
          <w:tcPr>
            <w:tcW w:w="6633" w:type="dxa"/>
          </w:tcPr>
          <w:p w:rsidR="004B5EFD" w:rsidRDefault="00243583">
            <w:pPr>
              <w:spacing w:after="20" w:line="252" w:lineRule="auto"/>
              <w:jc w:val="left"/>
            </w:pPr>
            <w:r>
              <w:rPr>
                <w:sz w:val="19"/>
              </w:rPr>
              <w:t xml:space="preserve">İYUK m.7 uyarınca 60 gün. Karar SPK Bülteninde </w:t>
            </w:r>
            <w:r>
              <w:rPr>
                <w:sz w:val="19"/>
              </w:rPr>
              <w:t>17.09.2026’da ilan edildiğinden en temkinli hesapla son gün 16.11.2026 (Pazartesi); süre uzatım kararı bakımından 19.11.2026 (Perşembe).</w:t>
            </w:r>
          </w:p>
        </w:tc>
      </w:tr>
      <w:tr w:rsidR="004B5EFD">
        <w:trPr>
          <w:jc w:val="center"/>
        </w:trPr>
        <w:tc>
          <w:tcPr>
            <w:tcW w:w="2608" w:type="dxa"/>
            <w:shd w:val="clear" w:color="auto" w:fill="F4F7F7"/>
          </w:tcPr>
          <w:p w:rsidR="004B5EFD" w:rsidRDefault="00243583">
            <w:pPr>
              <w:spacing w:after="20" w:line="252" w:lineRule="auto"/>
              <w:jc w:val="left"/>
            </w:pPr>
            <w:r>
              <w:rPr>
                <w:sz w:val="19"/>
              </w:rPr>
              <w:t>Yürütmenin durdurulması koşulları var mı?</w:t>
            </w:r>
          </w:p>
        </w:tc>
        <w:tc>
          <w:tcPr>
            <w:tcW w:w="6633" w:type="dxa"/>
            <w:shd w:val="clear" w:color="auto" w:fill="F4F7F7"/>
          </w:tcPr>
          <w:p w:rsidR="004B5EFD" w:rsidRDefault="00243583">
            <w:pPr>
              <w:spacing w:after="20" w:line="252" w:lineRule="auto"/>
              <w:jc w:val="left"/>
            </w:pPr>
            <w:r>
              <w:rPr>
                <w:sz w:val="19"/>
              </w:rPr>
              <w:t>İYUK m.27/2 iki koşulu birlikte arar: işlemin açıkça hukuka aykırı olması ve</w:t>
            </w:r>
            <w:r>
              <w:rPr>
                <w:sz w:val="19"/>
              </w:rPr>
              <w:t xml:space="preserve"> uygulanması hâlinde telafisi güç veya imkânsız zarar doğması. Tasfiyenin bütünüyle durdurulması yatırımcı aleyhine sonuç doğurabileceğinden talep, belirli usul ve esaslarla sınırlandırılmıştır.</w:t>
            </w:r>
          </w:p>
        </w:tc>
      </w:tr>
      <w:tr w:rsidR="004B5EFD">
        <w:trPr>
          <w:jc w:val="center"/>
        </w:trPr>
        <w:tc>
          <w:tcPr>
            <w:tcW w:w="2608" w:type="dxa"/>
          </w:tcPr>
          <w:p w:rsidR="004B5EFD" w:rsidRDefault="00243583">
            <w:pPr>
              <w:spacing w:after="20" w:line="252" w:lineRule="auto"/>
              <w:jc w:val="left"/>
            </w:pPr>
            <w:r>
              <w:rPr>
                <w:sz w:val="19"/>
              </w:rPr>
              <w:t>Tasfiye ilerledikten sonra iptal kararı ne sonuç doğurur?</w:t>
            </w:r>
          </w:p>
        </w:tc>
        <w:tc>
          <w:tcPr>
            <w:tcW w:w="6633" w:type="dxa"/>
          </w:tcPr>
          <w:p w:rsidR="004B5EFD" w:rsidRDefault="00243583">
            <w:pPr>
              <w:spacing w:after="20" w:line="252" w:lineRule="auto"/>
              <w:jc w:val="left"/>
            </w:pPr>
            <w:r>
              <w:rPr>
                <w:sz w:val="19"/>
              </w:rPr>
              <w:t>Satılmış varlıklar bakımından eski hâle getirme çoğu zaman mümkün olmaz; iptal kararı bu durumda özellikle tam yargı davasında hizmet kusurunun ve zararın ispatı için dayanak işlevi görür. Bu nedenle davanın erken açılması önemlidir.</w:t>
            </w:r>
          </w:p>
        </w:tc>
      </w:tr>
    </w:tbl>
    <w:p w:rsidR="004B5EFD" w:rsidRDefault="00243583">
      <w:pPr>
        <w:spacing w:after="0"/>
      </w:pPr>
      <w:r>
        <w:br w:type="page"/>
      </w:r>
    </w:p>
    <w:p w:rsidR="004B5EFD" w:rsidRDefault="00243583">
      <w:pPr>
        <w:keepNext/>
        <w:spacing w:after="60"/>
      </w:pPr>
      <w:r>
        <w:rPr>
          <w:b/>
          <w:color w:val="0C4E54"/>
        </w:rPr>
        <w:lastRenderedPageBreak/>
        <w:t xml:space="preserve">2. Dava türlerinin </w:t>
      </w:r>
      <w:r>
        <w:rPr>
          <w:b/>
          <w:color w:val="0C4E54"/>
        </w:rPr>
        <w:t>karşılaştırılması</w:t>
      </w:r>
    </w:p>
    <w:tbl>
      <w:tblPr>
        <w:tblStyle w:val="TabloKlavuzu"/>
        <w:tblW w:w="0" w:type="auto"/>
        <w:jc w:val="center"/>
        <w:tblLayout w:type="fixed"/>
        <w:tblLook w:val="04A0" w:firstRow="1" w:lastRow="0" w:firstColumn="1" w:lastColumn="0" w:noHBand="0" w:noVBand="1"/>
      </w:tblPr>
      <w:tblGrid>
        <w:gridCol w:w="1474"/>
        <w:gridCol w:w="3742"/>
        <w:gridCol w:w="4025"/>
      </w:tblGrid>
      <w:tr w:rsidR="004B5EFD">
        <w:trPr>
          <w:jc w:val="center"/>
        </w:trPr>
        <w:tc>
          <w:tcPr>
            <w:tcW w:w="1474" w:type="dxa"/>
            <w:shd w:val="clear" w:color="auto" w:fill="0C4E54"/>
          </w:tcPr>
          <w:p w:rsidR="004B5EFD" w:rsidRDefault="004B5EFD"/>
        </w:tc>
        <w:tc>
          <w:tcPr>
            <w:tcW w:w="3742" w:type="dxa"/>
            <w:shd w:val="clear" w:color="auto" w:fill="0C4E54"/>
          </w:tcPr>
          <w:p w:rsidR="004B5EFD" w:rsidRDefault="00243583">
            <w:r>
              <w:rPr>
                <w:b/>
                <w:color w:val="FFFFFF"/>
                <w:sz w:val="19"/>
              </w:rPr>
              <w:t>İptal davası (+ YD)</w:t>
            </w:r>
          </w:p>
        </w:tc>
        <w:tc>
          <w:tcPr>
            <w:tcW w:w="4025" w:type="dxa"/>
            <w:shd w:val="clear" w:color="auto" w:fill="0C4E54"/>
          </w:tcPr>
          <w:p w:rsidR="004B5EFD" w:rsidRDefault="00243583">
            <w:r>
              <w:rPr>
                <w:b/>
                <w:color w:val="FFFFFF"/>
                <w:sz w:val="19"/>
              </w:rPr>
              <w:t>Tam yargı davası</w:t>
            </w:r>
          </w:p>
        </w:tc>
      </w:tr>
      <w:tr w:rsidR="004B5EFD">
        <w:trPr>
          <w:jc w:val="center"/>
        </w:trPr>
        <w:tc>
          <w:tcPr>
            <w:tcW w:w="1474" w:type="dxa"/>
          </w:tcPr>
          <w:p w:rsidR="004B5EFD" w:rsidRDefault="00243583">
            <w:pPr>
              <w:spacing w:after="20" w:line="252" w:lineRule="auto"/>
              <w:jc w:val="left"/>
            </w:pPr>
            <w:r>
              <w:rPr>
                <w:sz w:val="19"/>
              </w:rPr>
              <w:t>Konu</w:t>
            </w:r>
          </w:p>
        </w:tc>
        <w:tc>
          <w:tcPr>
            <w:tcW w:w="3742" w:type="dxa"/>
          </w:tcPr>
          <w:p w:rsidR="004B5EFD" w:rsidRDefault="00243583">
            <w:pPr>
              <w:spacing w:after="20" w:line="252" w:lineRule="auto"/>
              <w:jc w:val="left"/>
            </w:pPr>
            <w:r>
              <w:rPr>
                <w:sz w:val="19"/>
              </w:rPr>
              <w:t>57/1708 ve 59/1710 sayılı kararların müvekkil yönünden hukuka aykırı kısımları</w:t>
            </w:r>
          </w:p>
        </w:tc>
        <w:tc>
          <w:tcPr>
            <w:tcW w:w="4025" w:type="dxa"/>
          </w:tcPr>
          <w:p w:rsidR="004B5EFD" w:rsidRDefault="00243583">
            <w:pPr>
              <w:spacing w:after="20" w:line="252" w:lineRule="auto"/>
              <w:jc w:val="left"/>
            </w:pPr>
            <w:r>
              <w:rPr>
                <w:sz w:val="19"/>
              </w:rPr>
              <w:t>SPK’nın gözetim ve denetim görevini geç veya eksik yerine getirmesinden doğan zarar (hizmet kusuru)</w:t>
            </w:r>
          </w:p>
        </w:tc>
      </w:tr>
      <w:tr w:rsidR="004B5EFD">
        <w:trPr>
          <w:jc w:val="center"/>
        </w:trPr>
        <w:tc>
          <w:tcPr>
            <w:tcW w:w="1474" w:type="dxa"/>
            <w:shd w:val="clear" w:color="auto" w:fill="F4F7F7"/>
          </w:tcPr>
          <w:p w:rsidR="004B5EFD" w:rsidRDefault="00243583">
            <w:pPr>
              <w:spacing w:after="20" w:line="252" w:lineRule="auto"/>
              <w:jc w:val="left"/>
            </w:pPr>
            <w:r>
              <w:rPr>
                <w:sz w:val="19"/>
              </w:rPr>
              <w:t>Dayanak</w:t>
            </w:r>
          </w:p>
        </w:tc>
        <w:tc>
          <w:tcPr>
            <w:tcW w:w="3742" w:type="dxa"/>
            <w:shd w:val="clear" w:color="auto" w:fill="F4F7F7"/>
          </w:tcPr>
          <w:p w:rsidR="004B5EFD" w:rsidRDefault="00243583">
            <w:pPr>
              <w:spacing w:after="20" w:line="252" w:lineRule="auto"/>
              <w:jc w:val="left"/>
            </w:pPr>
            <w:r>
              <w:rPr>
                <w:sz w:val="19"/>
              </w:rPr>
              <w:t xml:space="preserve">İYUK </w:t>
            </w:r>
            <w:r>
              <w:rPr>
                <w:sz w:val="19"/>
              </w:rPr>
              <w:t>m.2/1-a, m.7, m.27</w:t>
            </w:r>
          </w:p>
        </w:tc>
        <w:tc>
          <w:tcPr>
            <w:tcW w:w="4025" w:type="dxa"/>
            <w:shd w:val="clear" w:color="auto" w:fill="F4F7F7"/>
          </w:tcPr>
          <w:p w:rsidR="004B5EFD" w:rsidRDefault="00243583">
            <w:pPr>
              <w:spacing w:after="20" w:line="252" w:lineRule="auto"/>
              <w:jc w:val="left"/>
            </w:pPr>
            <w:r>
              <w:rPr>
                <w:sz w:val="19"/>
              </w:rPr>
              <w:t>İYUK m.2/1-b, m.12, m.13</w:t>
            </w:r>
          </w:p>
        </w:tc>
      </w:tr>
      <w:tr w:rsidR="004B5EFD">
        <w:trPr>
          <w:jc w:val="center"/>
        </w:trPr>
        <w:tc>
          <w:tcPr>
            <w:tcW w:w="1474" w:type="dxa"/>
          </w:tcPr>
          <w:p w:rsidR="004B5EFD" w:rsidRDefault="00243583">
            <w:pPr>
              <w:spacing w:after="20" w:line="252" w:lineRule="auto"/>
              <w:jc w:val="left"/>
            </w:pPr>
            <w:r>
              <w:rPr>
                <w:sz w:val="19"/>
              </w:rPr>
              <w:t>Süre</w:t>
            </w:r>
          </w:p>
        </w:tc>
        <w:tc>
          <w:tcPr>
            <w:tcW w:w="3742" w:type="dxa"/>
          </w:tcPr>
          <w:p w:rsidR="004B5EFD" w:rsidRDefault="00243583">
            <w:pPr>
              <w:spacing w:after="20" w:line="252" w:lineRule="auto"/>
              <w:jc w:val="left"/>
            </w:pPr>
            <w:r>
              <w:rPr>
                <w:sz w:val="19"/>
              </w:rPr>
              <w:t>İlandan itibaren 60 gün</w:t>
            </w:r>
          </w:p>
        </w:tc>
        <w:tc>
          <w:tcPr>
            <w:tcW w:w="4025" w:type="dxa"/>
          </w:tcPr>
          <w:p w:rsidR="004B5EFD" w:rsidRDefault="00243583">
            <w:pPr>
              <w:spacing w:after="20" w:line="252" w:lineRule="auto"/>
              <w:jc w:val="left"/>
            </w:pPr>
            <w:r>
              <w:rPr>
                <w:sz w:val="19"/>
              </w:rPr>
              <w:t>İptal kararının tebliğinden itibaren 60 gün (m.12) veya eylemden öğrenme tarihinden itibaren 1 yıl, her hâlde 5 yıl içinde idareye başvuru (m.13)</w:t>
            </w:r>
          </w:p>
        </w:tc>
      </w:tr>
      <w:tr w:rsidR="004B5EFD">
        <w:trPr>
          <w:jc w:val="center"/>
        </w:trPr>
        <w:tc>
          <w:tcPr>
            <w:tcW w:w="1474" w:type="dxa"/>
            <w:shd w:val="clear" w:color="auto" w:fill="F4F7F7"/>
          </w:tcPr>
          <w:p w:rsidR="004B5EFD" w:rsidRDefault="00243583">
            <w:pPr>
              <w:spacing w:after="20" w:line="252" w:lineRule="auto"/>
              <w:jc w:val="left"/>
            </w:pPr>
            <w:r>
              <w:rPr>
                <w:sz w:val="19"/>
              </w:rPr>
              <w:t>Ön koşul</w:t>
            </w:r>
          </w:p>
        </w:tc>
        <w:tc>
          <w:tcPr>
            <w:tcW w:w="3742" w:type="dxa"/>
            <w:shd w:val="clear" w:color="auto" w:fill="F4F7F7"/>
          </w:tcPr>
          <w:p w:rsidR="004B5EFD" w:rsidRDefault="00243583">
            <w:pPr>
              <w:spacing w:after="20" w:line="252" w:lineRule="auto"/>
              <w:jc w:val="left"/>
            </w:pPr>
            <w:r>
              <w:rPr>
                <w:sz w:val="19"/>
              </w:rPr>
              <w:t>Yok</w:t>
            </w:r>
          </w:p>
        </w:tc>
        <w:tc>
          <w:tcPr>
            <w:tcW w:w="4025" w:type="dxa"/>
            <w:shd w:val="clear" w:color="auto" w:fill="F4F7F7"/>
          </w:tcPr>
          <w:p w:rsidR="004B5EFD" w:rsidRDefault="00243583">
            <w:pPr>
              <w:spacing w:after="20" w:line="252" w:lineRule="auto"/>
              <w:jc w:val="left"/>
            </w:pPr>
            <w:r>
              <w:rPr>
                <w:sz w:val="19"/>
              </w:rPr>
              <w:t xml:space="preserve">m.13 yolunda önce </w:t>
            </w:r>
            <w:r>
              <w:rPr>
                <w:sz w:val="19"/>
              </w:rPr>
              <w:t>SPK’ya yazılı başvuru; 30 gün içinde cevap verilmezse istem reddedilmiş sayılır</w:t>
            </w:r>
          </w:p>
        </w:tc>
      </w:tr>
      <w:tr w:rsidR="004B5EFD">
        <w:trPr>
          <w:jc w:val="center"/>
        </w:trPr>
        <w:tc>
          <w:tcPr>
            <w:tcW w:w="1474" w:type="dxa"/>
          </w:tcPr>
          <w:p w:rsidR="004B5EFD" w:rsidRDefault="00243583">
            <w:pPr>
              <w:spacing w:after="20" w:line="252" w:lineRule="auto"/>
              <w:jc w:val="left"/>
            </w:pPr>
            <w:r>
              <w:rPr>
                <w:sz w:val="19"/>
              </w:rPr>
              <w:t>Avantaj</w:t>
            </w:r>
          </w:p>
        </w:tc>
        <w:tc>
          <w:tcPr>
            <w:tcW w:w="3742" w:type="dxa"/>
          </w:tcPr>
          <w:p w:rsidR="004B5EFD" w:rsidRDefault="00243583">
            <w:pPr>
              <w:spacing w:after="20" w:line="252" w:lineRule="auto"/>
              <w:jc w:val="left"/>
            </w:pPr>
            <w:r>
              <w:rPr>
                <w:sz w:val="19"/>
              </w:rPr>
              <w:t>Erken ve hızlı geçici koruma imkânı</w:t>
            </w:r>
          </w:p>
        </w:tc>
        <w:tc>
          <w:tcPr>
            <w:tcW w:w="4025" w:type="dxa"/>
          </w:tcPr>
          <w:p w:rsidR="004B5EFD" w:rsidRDefault="00243583">
            <w:pPr>
              <w:spacing w:after="20" w:line="252" w:lineRule="auto"/>
              <w:jc w:val="left"/>
            </w:pPr>
            <w:r>
              <w:rPr>
                <w:sz w:val="19"/>
              </w:rPr>
              <w:t>Doğrudan tazminat; kusurlu kurumlar dışında devlete karşı tahsil imkânı</w:t>
            </w:r>
          </w:p>
        </w:tc>
      </w:tr>
      <w:tr w:rsidR="004B5EFD">
        <w:trPr>
          <w:jc w:val="center"/>
        </w:trPr>
        <w:tc>
          <w:tcPr>
            <w:tcW w:w="1474" w:type="dxa"/>
            <w:shd w:val="clear" w:color="auto" w:fill="F4F7F7"/>
          </w:tcPr>
          <w:p w:rsidR="004B5EFD" w:rsidRDefault="00243583">
            <w:pPr>
              <w:spacing w:after="20" w:line="252" w:lineRule="auto"/>
              <w:jc w:val="left"/>
            </w:pPr>
            <w:r>
              <w:rPr>
                <w:sz w:val="19"/>
              </w:rPr>
              <w:t>Risk</w:t>
            </w:r>
          </w:p>
        </w:tc>
        <w:tc>
          <w:tcPr>
            <w:tcW w:w="3742" w:type="dxa"/>
            <w:shd w:val="clear" w:color="auto" w:fill="F4F7F7"/>
          </w:tcPr>
          <w:p w:rsidR="004B5EFD" w:rsidRDefault="00243583">
            <w:pPr>
              <w:spacing w:after="20" w:line="252" w:lineRule="auto"/>
              <w:jc w:val="left"/>
            </w:pPr>
            <w:r>
              <w:rPr>
                <w:sz w:val="19"/>
              </w:rPr>
              <w:t>Tasfiyenin durması yatırımcı ödemesini geciktirebilir</w:t>
            </w:r>
          </w:p>
        </w:tc>
        <w:tc>
          <w:tcPr>
            <w:tcW w:w="4025" w:type="dxa"/>
            <w:shd w:val="clear" w:color="auto" w:fill="F4F7F7"/>
          </w:tcPr>
          <w:p w:rsidR="004B5EFD" w:rsidRDefault="00243583">
            <w:pPr>
              <w:spacing w:after="20" w:line="252" w:lineRule="auto"/>
              <w:jc w:val="left"/>
            </w:pPr>
            <w:r>
              <w:rPr>
                <w:sz w:val="19"/>
              </w:rPr>
              <w:t>Hizmet kusuru ile zarar arasındaki illiyetin ispatı güçtür; ağır ispat yükü</w:t>
            </w:r>
          </w:p>
        </w:tc>
      </w:tr>
    </w:tbl>
    <w:p w:rsidR="004B5EFD" w:rsidRDefault="004B5EFD">
      <w:pPr>
        <w:spacing w:after="0"/>
      </w:pPr>
    </w:p>
    <w:p w:rsidR="004B5EFD" w:rsidRDefault="00243583">
      <w:pPr>
        <w:pStyle w:val="ListeMaddemi"/>
        <w:spacing w:after="20"/>
        <w:jc w:val="left"/>
      </w:pPr>
      <w:proofErr w:type="spellStart"/>
      <w:r>
        <w:t>Dilekçe</w:t>
      </w:r>
      <w:proofErr w:type="spellEnd"/>
      <w:r>
        <w:t xml:space="preserve">, “SPK </w:t>
      </w:r>
      <w:proofErr w:type="spellStart"/>
      <w:r>
        <w:t>kesinlikle</w:t>
      </w:r>
      <w:proofErr w:type="spellEnd"/>
      <w:r>
        <w:t xml:space="preserve"> </w:t>
      </w:r>
      <w:proofErr w:type="spellStart"/>
      <w:r>
        <w:t>hukuka</w:t>
      </w:r>
      <w:proofErr w:type="spellEnd"/>
      <w:r>
        <w:t xml:space="preserve"> aykırı davrandı” söylemi yerine yetki, şekil, sebep, konu ve maksat unsurlarının denetimini isteyen ölçülü bir dille kurulmu</w:t>
      </w:r>
      <w:r>
        <w:t>ştur.</w:t>
      </w:r>
    </w:p>
    <w:p w:rsidR="004B5EFD" w:rsidRDefault="00243583">
      <w:pPr>
        <w:pStyle w:val="ListeMaddemi"/>
        <w:spacing w:after="20"/>
        <w:jc w:val="left"/>
      </w:pPr>
      <w:r>
        <w:t>Asıl hedef; iade talimatları arasındaki sıralama, değerleme esası, ödeme takvimindeki belirsizlik ve kısmi ödeme yapılmaması gibi yatırımcıyı doğrudan etkileyen düzenlemelerdir.</w:t>
      </w:r>
    </w:p>
    <w:p w:rsidR="004B5EFD" w:rsidRDefault="00243583">
      <w:pPr>
        <w:pStyle w:val="ListeMaddemi"/>
        <w:spacing w:after="20"/>
        <w:jc w:val="left"/>
      </w:pPr>
      <w:r>
        <w:t>Yürütmenin durdurulması talebi, varlık satışlarını durduracak şekilde de</w:t>
      </w:r>
      <w:r>
        <w:t>ğil, yatırımcı hakları bakımından geri dönülmez sonuç doğuracak uygulamalarla sınırlı tutulmuştur.</w:t>
      </w:r>
    </w:p>
    <w:p w:rsidR="004B5EFD" w:rsidRDefault="00243583">
      <w:pPr>
        <w:pStyle w:val="ListeMaddemi"/>
        <w:spacing w:after="20"/>
        <w:jc w:val="left"/>
      </w:pPr>
      <w:r>
        <w:t>Tam yargı hakkı saklı tutulmalı ve m.13 kapsamındaki bir yıllık süre ayrıca takip edilmelidir.</w:t>
      </w:r>
      <w:r>
        <w:br w:type="page"/>
      </w:r>
    </w:p>
    <w:p w:rsidR="004B5EFD" w:rsidRDefault="00243583">
      <w:pPr>
        <w:keepNext/>
        <w:pBdr>
          <w:bottom w:val="single" w:sz="6" w:space="1" w:color="0C4E54"/>
        </w:pBdr>
        <w:spacing w:before="240"/>
      </w:pPr>
      <w:r>
        <w:rPr>
          <w:b/>
          <w:color w:val="0C4E54"/>
          <w:sz w:val="23"/>
        </w:rPr>
        <w:lastRenderedPageBreak/>
        <w:t>BÖLÜM B — DAVA DİLEKÇESİ</w:t>
      </w:r>
      <w:r w:rsidR="00E55C53">
        <w:rPr>
          <w:b/>
          <w:color w:val="0C4E54"/>
          <w:sz w:val="23"/>
        </w:rPr>
        <w:t xml:space="preserve"> ÖRNEĞİ</w:t>
      </w:r>
    </w:p>
    <w:p w:rsidR="004B5EFD" w:rsidRDefault="00243583">
      <w:pPr>
        <w:spacing w:after="0"/>
        <w:jc w:val="center"/>
      </w:pPr>
      <w:r>
        <w:rPr>
          <w:b/>
          <w:color w:val="0C4E54"/>
          <w:sz w:val="25"/>
        </w:rPr>
        <w:t xml:space="preserve">ANKARA NÖBETÇİ İDARE MAHKEMESİ </w:t>
      </w:r>
      <w:r>
        <w:rPr>
          <w:b/>
          <w:color w:val="0C4E54"/>
          <w:sz w:val="25"/>
        </w:rPr>
        <w:t>BAŞKANLIĞI’NA</w:t>
      </w:r>
    </w:p>
    <w:p w:rsidR="004B5EFD" w:rsidRDefault="00243583">
      <w:pPr>
        <w:spacing w:after="40"/>
        <w:jc w:val="center"/>
      </w:pPr>
      <w:r>
        <w:rPr>
          <w:color w:val="5A5957"/>
          <w:sz w:val="20"/>
        </w:rPr>
        <w:t>Gönderilmek üzere [İstanbul] Nöbetçi İdare Mahkemesi Başkanlığı’na (İYUK m.4)</w:t>
      </w:r>
    </w:p>
    <w:p w:rsidR="004B5EFD" w:rsidRDefault="00243583">
      <w:pPr>
        <w:spacing w:after="200"/>
        <w:jc w:val="center"/>
      </w:pPr>
      <w:r>
        <w:rPr>
          <w:b/>
        </w:rPr>
        <w:t>YÜRÜTMENİN DURDURULMASI TALEPLİDİR</w:t>
      </w:r>
    </w:p>
    <w:tbl>
      <w:tblPr>
        <w:tblStyle w:val="TabloKlavuzu"/>
        <w:tblW w:w="0" w:type="auto"/>
        <w:jc w:val="center"/>
        <w:tblLayout w:type="fixed"/>
        <w:tblLook w:val="04A0" w:firstRow="1" w:lastRow="0" w:firstColumn="1" w:lastColumn="0" w:noHBand="0" w:noVBand="1"/>
      </w:tblPr>
      <w:tblGrid>
        <w:gridCol w:w="2438"/>
        <w:gridCol w:w="6803"/>
      </w:tblGrid>
      <w:tr w:rsidR="004B5EFD">
        <w:trPr>
          <w:jc w:val="center"/>
        </w:trPr>
        <w:tc>
          <w:tcPr>
            <w:tcW w:w="2438" w:type="dxa"/>
            <w:shd w:val="clear" w:color="auto" w:fill="EEF3F3"/>
          </w:tcPr>
          <w:p w:rsidR="004B5EFD" w:rsidRDefault="00243583">
            <w:pPr>
              <w:spacing w:after="20" w:line="252" w:lineRule="auto"/>
              <w:jc w:val="left"/>
            </w:pPr>
            <w:r>
              <w:rPr>
                <w:b/>
                <w:color w:val="0C4E54"/>
                <w:sz w:val="20"/>
              </w:rPr>
              <w:t>DAVACI</w:t>
            </w:r>
          </w:p>
        </w:tc>
        <w:tc>
          <w:tcPr>
            <w:tcW w:w="6803" w:type="dxa"/>
          </w:tcPr>
          <w:p w:rsidR="004B5EFD" w:rsidRDefault="00243583">
            <w:pPr>
              <w:spacing w:after="20" w:line="252" w:lineRule="auto"/>
              <w:jc w:val="left"/>
            </w:pPr>
            <w:r>
              <w:rPr>
                <w:sz w:val="20"/>
              </w:rPr>
              <w:t>Adı Soyadı: [●]</w:t>
            </w:r>
            <w:r>
              <w:rPr>
                <w:sz w:val="20"/>
              </w:rPr>
              <w:br/>
              <w:t>T.C. Kimlik No: [●]</w:t>
            </w:r>
            <w:r>
              <w:rPr>
                <w:sz w:val="20"/>
              </w:rPr>
              <w:br/>
              <w:t>Adres: [●]</w:t>
            </w:r>
          </w:p>
        </w:tc>
      </w:tr>
      <w:tr w:rsidR="004B5EFD">
        <w:trPr>
          <w:jc w:val="center"/>
        </w:trPr>
        <w:tc>
          <w:tcPr>
            <w:tcW w:w="2438" w:type="dxa"/>
            <w:shd w:val="clear" w:color="auto" w:fill="EEF3F3"/>
          </w:tcPr>
          <w:p w:rsidR="004B5EFD" w:rsidRDefault="00243583">
            <w:pPr>
              <w:spacing w:after="20" w:line="252" w:lineRule="auto"/>
              <w:jc w:val="left"/>
            </w:pPr>
            <w:r>
              <w:rPr>
                <w:b/>
                <w:color w:val="0C4E54"/>
                <w:sz w:val="20"/>
              </w:rPr>
              <w:t>VEKİLİ</w:t>
            </w:r>
          </w:p>
        </w:tc>
        <w:tc>
          <w:tcPr>
            <w:tcW w:w="6803" w:type="dxa"/>
          </w:tcPr>
          <w:p w:rsidR="004B5EFD" w:rsidRDefault="00E55C53">
            <w:pPr>
              <w:spacing w:after="20" w:line="252" w:lineRule="auto"/>
              <w:jc w:val="left"/>
            </w:pPr>
            <w:r>
              <w:rPr>
                <w:sz w:val="20"/>
              </w:rPr>
              <w:t>Av. ………..</w:t>
            </w:r>
            <w:r w:rsidR="00243583">
              <w:rPr>
                <w:sz w:val="20"/>
              </w:rPr>
              <w:t xml:space="preserve"> — [●] Barosu, Sicil No: [●]</w:t>
            </w:r>
            <w:r w:rsidR="00243583">
              <w:rPr>
                <w:sz w:val="20"/>
              </w:rPr>
              <w:br/>
              <w:t>Adres: [●]  |  UETS / K</w:t>
            </w:r>
            <w:r w:rsidR="00243583">
              <w:rPr>
                <w:sz w:val="20"/>
              </w:rPr>
              <w:t>EP: [●]</w:t>
            </w:r>
          </w:p>
        </w:tc>
      </w:tr>
      <w:tr w:rsidR="004B5EFD">
        <w:trPr>
          <w:jc w:val="center"/>
        </w:trPr>
        <w:tc>
          <w:tcPr>
            <w:tcW w:w="2438" w:type="dxa"/>
            <w:shd w:val="clear" w:color="auto" w:fill="EEF3F3"/>
          </w:tcPr>
          <w:p w:rsidR="004B5EFD" w:rsidRDefault="00243583">
            <w:pPr>
              <w:spacing w:after="20" w:line="252" w:lineRule="auto"/>
              <w:jc w:val="left"/>
            </w:pPr>
            <w:r>
              <w:rPr>
                <w:b/>
                <w:color w:val="0C4E54"/>
                <w:sz w:val="20"/>
              </w:rPr>
              <w:t>DAVALI İDARE</w:t>
            </w:r>
          </w:p>
        </w:tc>
        <w:tc>
          <w:tcPr>
            <w:tcW w:w="6803" w:type="dxa"/>
          </w:tcPr>
          <w:p w:rsidR="004B5EFD" w:rsidRDefault="00243583">
            <w:pPr>
              <w:spacing w:after="20" w:line="252" w:lineRule="auto"/>
              <w:jc w:val="left"/>
            </w:pPr>
            <w:r>
              <w:rPr>
                <w:sz w:val="20"/>
              </w:rPr>
              <w:t>Sermaye Piyasası Kurulu Başkanlığı</w:t>
            </w:r>
            <w:r>
              <w:rPr>
                <w:sz w:val="20"/>
              </w:rPr>
              <w:br/>
              <w:t>Mustafa Kemal Mahallesi, Dumlupınar Bulvarı (Eskişehir Yolu) No:156, 06530 Çankaya / ANKARA</w:t>
            </w:r>
          </w:p>
        </w:tc>
      </w:tr>
      <w:tr w:rsidR="004B5EFD">
        <w:trPr>
          <w:jc w:val="center"/>
        </w:trPr>
        <w:tc>
          <w:tcPr>
            <w:tcW w:w="2438" w:type="dxa"/>
            <w:shd w:val="clear" w:color="auto" w:fill="EEF3F3"/>
          </w:tcPr>
          <w:p w:rsidR="004B5EFD" w:rsidRDefault="00243583">
            <w:pPr>
              <w:spacing w:after="20" w:line="252" w:lineRule="auto"/>
              <w:jc w:val="left"/>
            </w:pPr>
            <w:r>
              <w:rPr>
                <w:b/>
                <w:color w:val="0C4E54"/>
                <w:sz w:val="20"/>
              </w:rPr>
              <w:t>DAVA KONUSU İŞLEMLER</w:t>
            </w:r>
          </w:p>
        </w:tc>
        <w:tc>
          <w:tcPr>
            <w:tcW w:w="6803" w:type="dxa"/>
          </w:tcPr>
          <w:p w:rsidR="004B5EFD" w:rsidRDefault="00243583">
            <w:pPr>
              <w:spacing w:after="20" w:line="252" w:lineRule="auto"/>
              <w:jc w:val="left"/>
            </w:pPr>
            <w:r>
              <w:rPr>
                <w:sz w:val="20"/>
              </w:rPr>
              <w:t xml:space="preserve">1) SPK Kurul Karar Organı’nın 17.09.2026 tarih ve 57/1708 sayılı kararı ile ekindeki </w:t>
            </w:r>
            <w:r>
              <w:rPr>
                <w:sz w:val="20"/>
              </w:rPr>
              <w:t>tasfiye usul ve esaslarının [fon adı / TEFAS kodu] fonuna ilişkin kısmı ile özellikle [●] numaralı maddeleri</w:t>
            </w:r>
            <w:r>
              <w:rPr>
                <w:sz w:val="20"/>
              </w:rPr>
              <w:br/>
              <w:t>2) SPK Kurul Karar Organı’nın 20.09.2026 tarih ve 59/1710 sayılı kararı</w:t>
            </w:r>
          </w:p>
        </w:tc>
      </w:tr>
      <w:tr w:rsidR="004B5EFD">
        <w:trPr>
          <w:jc w:val="center"/>
        </w:trPr>
        <w:tc>
          <w:tcPr>
            <w:tcW w:w="2438" w:type="dxa"/>
            <w:shd w:val="clear" w:color="auto" w:fill="EEF3F3"/>
          </w:tcPr>
          <w:p w:rsidR="004B5EFD" w:rsidRDefault="00243583">
            <w:pPr>
              <w:spacing w:after="20" w:line="252" w:lineRule="auto"/>
              <w:jc w:val="left"/>
            </w:pPr>
            <w:r>
              <w:rPr>
                <w:b/>
                <w:color w:val="0C4E54"/>
                <w:sz w:val="20"/>
              </w:rPr>
              <w:t>İLAN / ÖĞRENME TARİHİ</w:t>
            </w:r>
          </w:p>
        </w:tc>
        <w:tc>
          <w:tcPr>
            <w:tcW w:w="6803" w:type="dxa"/>
          </w:tcPr>
          <w:p w:rsidR="004B5EFD" w:rsidRDefault="00243583">
            <w:pPr>
              <w:spacing w:after="20" w:line="252" w:lineRule="auto"/>
              <w:jc w:val="left"/>
            </w:pPr>
            <w:r>
              <w:rPr>
                <w:sz w:val="20"/>
              </w:rPr>
              <w:t>17.09.2026 (2026/60 ve 2026/61 sayılı SPK Bültenleri</w:t>
            </w:r>
            <w:r>
              <w:rPr>
                <w:sz w:val="20"/>
              </w:rPr>
              <w:t>); 20.09.2026 (2026/62 sayılı SPK Bülteni)</w:t>
            </w:r>
          </w:p>
        </w:tc>
      </w:tr>
      <w:tr w:rsidR="004B5EFD">
        <w:trPr>
          <w:jc w:val="center"/>
        </w:trPr>
        <w:tc>
          <w:tcPr>
            <w:tcW w:w="2438" w:type="dxa"/>
            <w:shd w:val="clear" w:color="auto" w:fill="EEF3F3"/>
          </w:tcPr>
          <w:p w:rsidR="004B5EFD" w:rsidRDefault="00243583">
            <w:pPr>
              <w:spacing w:after="20" w:line="252" w:lineRule="auto"/>
              <w:jc w:val="left"/>
            </w:pPr>
            <w:r>
              <w:rPr>
                <w:b/>
                <w:color w:val="0C4E54"/>
                <w:sz w:val="20"/>
              </w:rPr>
              <w:t>İSTEM</w:t>
            </w:r>
          </w:p>
        </w:tc>
        <w:tc>
          <w:tcPr>
            <w:tcW w:w="6803" w:type="dxa"/>
          </w:tcPr>
          <w:p w:rsidR="004B5EFD" w:rsidRDefault="00243583">
            <w:pPr>
              <w:spacing w:after="20" w:line="252" w:lineRule="auto"/>
              <w:jc w:val="left"/>
            </w:pPr>
            <w:r>
              <w:rPr>
                <w:sz w:val="20"/>
              </w:rPr>
              <w:t>Dava konusu işlemlerin müvekkil yönünden hukuka aykırı kısımlarının öncelikle yürütmesinin durdurulması ve iptali; tam yargı hakkının saklı tutulması</w:t>
            </w:r>
          </w:p>
        </w:tc>
      </w:tr>
    </w:tbl>
    <w:p w:rsidR="004B5EFD" w:rsidRDefault="004B5EFD">
      <w:pPr>
        <w:spacing w:after="0"/>
      </w:pPr>
    </w:p>
    <w:p w:rsidR="004B5EFD" w:rsidRDefault="00243583">
      <w:pPr>
        <w:keepNext/>
        <w:pBdr>
          <w:bottom w:val="single" w:sz="6" w:space="1" w:color="0C4E54"/>
        </w:pBdr>
        <w:spacing w:before="240"/>
      </w:pPr>
      <w:r>
        <w:rPr>
          <w:b/>
          <w:color w:val="0C4E54"/>
          <w:sz w:val="23"/>
        </w:rPr>
        <w:t>I. OLAYLAR</w:t>
      </w:r>
    </w:p>
    <w:p w:rsidR="004B5EFD" w:rsidRDefault="00243583">
      <w:pPr>
        <w:tabs>
          <w:tab w:val="left" w:pos="454"/>
        </w:tabs>
        <w:ind w:left="454" w:hanging="454"/>
      </w:pPr>
      <w:r>
        <w:rPr>
          <w:b/>
        </w:rPr>
        <w:t>1.</w:t>
      </w:r>
      <w:r>
        <w:rPr>
          <w:b/>
        </w:rPr>
        <w:tab/>
      </w:r>
      <w:r>
        <w:t xml:space="preserve">Müvekkil, [●] Portföy Yönetimi A.Ş.’nin </w:t>
      </w:r>
      <w:r>
        <w:t>kurucusu olduğu [fon adı ve kodu] fonunda [●] adet katılma payına sahiptir (Ek-3, Ek-4). Müvekkil [tarih/saat] tarihinde [●] adet pay için iade talimatı vermiş; talimat yerine getirilmemiştir. [İade talimatı yoksa çıkarılacaktır.]</w:t>
      </w:r>
    </w:p>
    <w:p w:rsidR="004B5EFD" w:rsidRDefault="00243583">
      <w:pPr>
        <w:tabs>
          <w:tab w:val="left" w:pos="454"/>
        </w:tabs>
        <w:ind w:left="454" w:hanging="454"/>
      </w:pPr>
      <w:r>
        <w:rPr>
          <w:b/>
        </w:rPr>
        <w:t>2.</w:t>
      </w:r>
      <w:r>
        <w:rPr>
          <w:b/>
        </w:rPr>
        <w:tab/>
      </w:r>
      <w:r>
        <w:t>Davalı idare, 16.09.20</w:t>
      </w:r>
      <w:r>
        <w:t>26 tarihinde bazı paylardaki işlemler nedeniyle SPKn m.107/1 kapsamında 38 kişi hakkında suç duyurusunda bulunmuş ve işlem yasakları getirmiştir (2026/59 sayılı Bülten).</w:t>
      </w:r>
    </w:p>
    <w:p w:rsidR="004B5EFD" w:rsidRDefault="00243583">
      <w:pPr>
        <w:tabs>
          <w:tab w:val="left" w:pos="454"/>
        </w:tabs>
        <w:ind w:left="454" w:hanging="454"/>
      </w:pPr>
      <w:r>
        <w:rPr>
          <w:b/>
        </w:rPr>
        <w:t>3.</w:t>
      </w:r>
      <w:r>
        <w:rPr>
          <w:b/>
        </w:rPr>
        <w:tab/>
      </w:r>
      <w:r>
        <w:t>Davalı idare, 17.09.2026 tarih ve 57/1708 sayılı kararıyla yedi portföy yönetim şir</w:t>
      </w:r>
      <w:r>
        <w:t>ketinin fonlarının TEFAS işlemlerini durdurmuş, fonların tasfiyesine karar vermiş ve tasfiye usul ve esaslarını belirlemiştir. Tasfiye kapsamındaki fon sayısı 2026/61 sayılı Bülten ile 131’e çıkmıştır. Tera Portföy fonlarında Türkiye İş Bankası A.Ş., diğer</w:t>
      </w:r>
      <w:r>
        <w:t xml:space="preserve"> fonlarda T.C. Ziraat Bankası A.Ş. tasfiye işlemlerini yürütmektedir.</w:t>
      </w:r>
    </w:p>
    <w:p w:rsidR="004B5EFD" w:rsidRDefault="00243583">
      <w:pPr>
        <w:tabs>
          <w:tab w:val="left" w:pos="454"/>
        </w:tabs>
        <w:ind w:left="454" w:hanging="454"/>
      </w:pPr>
      <w:r>
        <w:rPr>
          <w:b/>
        </w:rPr>
        <w:t>4.</w:t>
      </w:r>
      <w:r>
        <w:rPr>
          <w:b/>
        </w:rPr>
        <w:tab/>
      </w:r>
      <w:r>
        <w:t>Tasfiye usul ve esaslarına göre ihbarlı fonlarda 17.09.2026 saat 13.30’dan sonra verilen iade talimatları tasfiye esaslarına tabi tutulmuş; TEFAS’ta gerçekleşmeyen satım emirlerinin t</w:t>
      </w:r>
      <w:r>
        <w:t>utarı “fon hesabına borç” olarak tahakkuk ettirilerek öncelikli ödemeye bağlanmıştır. Ancak bu tutarın hangi tarihli birim pay değeri üzerinden hesaplanacağı kamuya açık belgelerden açıkça anlaşılamamaktadır.</w:t>
      </w:r>
    </w:p>
    <w:p w:rsidR="004B5EFD" w:rsidRDefault="00243583">
      <w:pPr>
        <w:tabs>
          <w:tab w:val="left" w:pos="454"/>
        </w:tabs>
        <w:ind w:left="454" w:hanging="454"/>
      </w:pPr>
      <w:r>
        <w:rPr>
          <w:b/>
        </w:rPr>
        <w:t>5.</w:t>
      </w:r>
      <w:r>
        <w:rPr>
          <w:b/>
        </w:rPr>
        <w:tab/>
      </w:r>
      <w:r>
        <w:t>Davalı idare, 20.09.2026 tarih ve 59/1710 sa</w:t>
      </w:r>
      <w:r>
        <w:t>yılı kararıyla usul ve esaslardaki üç aylık tasfiye süresini altı aya çıkarmış; gerekçe olarak portföy varlıklarının piyasa koşulları dikkate alınarak uygun koşullarda satılabilmesini göstermiştir. Kamuya açıklanan metinde kısmi ödeme, ara ödeme veya ödeme</w:t>
      </w:r>
      <w:r>
        <w:t xml:space="preserve"> takvimine ilişkin bir düzenlemeye yer verilmemiştir.</w:t>
      </w:r>
    </w:p>
    <w:p w:rsidR="004B5EFD" w:rsidRDefault="00243583">
      <w:pPr>
        <w:keepNext/>
        <w:pBdr>
          <w:bottom w:val="single" w:sz="6" w:space="1" w:color="0C4E54"/>
        </w:pBdr>
        <w:spacing w:before="240"/>
      </w:pPr>
      <w:r>
        <w:rPr>
          <w:b/>
          <w:color w:val="0C4E54"/>
          <w:sz w:val="23"/>
        </w:rPr>
        <w:lastRenderedPageBreak/>
        <w:t>II. HUKUKA AYKIRILIK NEDENLERİ</w:t>
      </w:r>
    </w:p>
    <w:p w:rsidR="004B5EFD" w:rsidRDefault="00243583">
      <w:r>
        <w:t xml:space="preserve">Müvekkil, davalı idarenin sermaye piyasasının güvenilirliğini ve yatırımcıları korumak amacıyla tedbir alma yetkisine itiraz etmemektedir. Uyuşmazlık, bu yetkinin somut </w:t>
      </w:r>
      <w:r>
        <w:t>olayda kullanılış biçiminin idari işlemin unsurları bakımından hukuka uygun olup olmadığına ilişkindir.</w:t>
      </w:r>
    </w:p>
    <w:p w:rsidR="004B5EFD" w:rsidRDefault="00243583">
      <w:pPr>
        <w:keepNext/>
        <w:spacing w:after="60"/>
      </w:pPr>
      <w:r>
        <w:rPr>
          <w:b/>
          <w:color w:val="0C4E54"/>
        </w:rPr>
        <w:t>1. Sebep ve gerekçe unsuru</w:t>
      </w:r>
    </w:p>
    <w:p w:rsidR="004B5EFD" w:rsidRDefault="00243583">
      <w:r>
        <w:t>Kamuya açıklanan kararda, müvekkilin fonu bakımından tasfiyeyi zorunlu kılan somut olgulara ve fon bazında yapılmış bir değer</w:t>
      </w:r>
      <w:r>
        <w:t>lendirmeye yer verilmemiştir. Farklı türde ve farklı portföy yapısındaki fonların tek bir kararla ve aynı gerekçeyle tasfiyeye alınması, sebep unsurunun her fon bakımından ayrı ayrı ortaya konulması gerekliliğiyle bağdaşmamaktadır. Davalı idareden karara e</w:t>
      </w:r>
      <w:r>
        <w:t>sas alınan denetleme raporu ve fon bazındaki tespitlerin istenmesi zorunludur.</w:t>
      </w:r>
    </w:p>
    <w:p w:rsidR="004B5EFD" w:rsidRDefault="00243583">
      <w:pPr>
        <w:keepNext/>
        <w:spacing w:after="60"/>
      </w:pPr>
      <w:r>
        <w:rPr>
          <w:b/>
          <w:color w:val="0C4E54"/>
        </w:rPr>
        <w:t>2. Konu unsuru ve ölçülülük</w:t>
      </w:r>
    </w:p>
    <w:p w:rsidR="004B5EFD" w:rsidRDefault="00243583">
      <w:r>
        <w:t>Yatırımcıların korunması amacına; kurucunun değiştirilmesi, fonun yönetiminin başka bir portföy yönetim şirketine devri, saklayıcı gözetiminde geçici</w:t>
      </w:r>
      <w:r>
        <w:t xml:space="preserve"> yönetim veya iade işlemlerinin geçici olarak durdurulması gibi daha hafif tedbirlerle ulaşılıp ulaşılamayacağı değerlendirilmeden en ağır tedbir olan tasfiyenin seçilmesi ölçülülük ilkesine aykırıdır. Özellikle yoğunlaşma riski taşımayan varlıkların da zo</w:t>
      </w:r>
      <w:r>
        <w:t>runlu satışa tabi tutulması, yatırımcı zararını artırma potansiyeli taşımaktadır.</w:t>
      </w:r>
    </w:p>
    <w:p w:rsidR="004B5EFD" w:rsidRDefault="00243583">
      <w:pPr>
        <w:keepNext/>
        <w:spacing w:after="60"/>
      </w:pPr>
      <w:r>
        <w:rPr>
          <w:b/>
          <w:color w:val="0C4E54"/>
        </w:rPr>
        <w:t>3. Eşitlik ve belirlilik ilkeleri</w:t>
      </w:r>
    </w:p>
    <w:p w:rsidR="004B5EFD" w:rsidRDefault="00243583">
      <w:r>
        <w:t>Saat 13.30’a göre yapılan ayrım, aynı fonda aynı haklara sahip yatırımcılar arasında iki ayrı ödeme sırası yaratmaktadır. Öncelikli ödemenin</w:t>
      </w:r>
      <w:r>
        <w:t xml:space="preserve"> hangi birim pay değeri üzerinden hesaplanacağının açıkça belirlenmemiş olması, hukuki belirlilik ilkesine aykırıdır ve yatırımcıların eşit muamele görme hakkını zedelemektedir.</w:t>
      </w:r>
    </w:p>
    <w:p w:rsidR="004B5EFD" w:rsidRDefault="00243583">
      <w:pPr>
        <w:keepNext/>
        <w:spacing w:after="60"/>
      </w:pPr>
      <w:r>
        <w:rPr>
          <w:b/>
          <w:color w:val="0C4E54"/>
        </w:rPr>
        <w:t>4. Süre uzatımı ve ödeme takvimi</w:t>
      </w:r>
    </w:p>
    <w:p w:rsidR="004B5EFD" w:rsidRDefault="00243583">
      <w:r>
        <w:t>Tasfiye süresinin altı aya çıkarılması, varlı</w:t>
      </w:r>
      <w:r>
        <w:t>kların değer kaybına uğramadan satılması bakımından yatırımcı lehine sonuç doğurabilir. Ancak aynı kararla nakde dönen kısmın pay sahiplerine düzenli aralıklarla dağıtılmasına ilişkin bir düzenleme yapılmaması, müvekkilin malvarlığına altı ay boyunca erişi</w:t>
      </w:r>
      <w:r>
        <w:t>mini engellemekte ve mülkiyet hakkına (Anayasa m.35, AİHS Ek 1 No.lu Protokol m.1) orantısız bir müdahale oluşturmaktadır.</w:t>
      </w:r>
    </w:p>
    <w:p w:rsidR="004B5EFD" w:rsidRDefault="00243583">
      <w:pPr>
        <w:keepNext/>
        <w:spacing w:after="60"/>
      </w:pPr>
      <w:r>
        <w:rPr>
          <w:b/>
          <w:color w:val="0C4E54"/>
        </w:rPr>
        <w:t>5. Maksat unsuru ve gözetim sorumluluğu</w:t>
      </w:r>
    </w:p>
    <w:p w:rsidR="004B5EFD" w:rsidRDefault="00243583">
      <w:r>
        <w:t>Kurulun görevi yalnızca kriz sonrası tedbir almak değil, krizi önleyecek gözetimi zamanında y</w:t>
      </w:r>
      <w:r>
        <w:t>apmaktır. Kamuya yansıyan bilgilere göre bazı fonlarda olağandışı büyüme ve yoğunlaşma uzun süredir bilinmekte, İstanbul Cumhuriyet Başsavcılığı 19.08.2026 tarihli yazısıyla Kurulun dikkatini bu hususa çekmiştir. Gözetim eksikliği sonucu oluşan riskin, tas</w:t>
      </w:r>
      <w:r>
        <w:t>fiye yoluyla tamamen yatırımcıya yüklenmesi, işlemin kamu yararı amacıyla orantılı olup olmadığı sorusunu doğurmaktadır. Bu husus, ayrıca açılacak tam yargı davasının da temelini oluşturacaktır.</w:t>
      </w:r>
    </w:p>
    <w:p w:rsidR="004B5EFD" w:rsidRDefault="00243583">
      <w:pPr>
        <w:keepNext/>
        <w:pBdr>
          <w:bottom w:val="single" w:sz="6" w:space="1" w:color="0C4E54"/>
        </w:pBdr>
        <w:spacing w:before="240"/>
      </w:pPr>
      <w:r>
        <w:rPr>
          <w:b/>
          <w:color w:val="0C4E54"/>
          <w:sz w:val="23"/>
        </w:rPr>
        <w:t>III. YÜRÜTMENİN DURDURULMASI TALEBİ</w:t>
      </w:r>
    </w:p>
    <w:p w:rsidR="004B5EFD" w:rsidRDefault="00243583">
      <w:r>
        <w:t>İYUK m.27/2’de aranan koş</w:t>
      </w:r>
      <w:r>
        <w:t>ullar somut olayda birlikte gerçekleşmiştir:</w:t>
      </w:r>
    </w:p>
    <w:p w:rsidR="004B5EFD" w:rsidRDefault="00243583">
      <w:pPr>
        <w:tabs>
          <w:tab w:val="left" w:pos="454"/>
        </w:tabs>
        <w:ind w:left="454" w:hanging="454"/>
      </w:pPr>
      <w:r>
        <w:rPr>
          <w:b/>
        </w:rPr>
        <w:t>1.</w:t>
      </w:r>
      <w:r>
        <w:rPr>
          <w:b/>
        </w:rPr>
        <w:tab/>
        <w:t xml:space="preserve">Açık hukuka aykırılık: </w:t>
      </w:r>
      <w:r>
        <w:t>Yukarıda açıklanan eşitlik ve belirlilik ilkelerine aykırılık, belgelerin kendisinden anlaşılabilecek niteliktedir.</w:t>
      </w:r>
    </w:p>
    <w:p w:rsidR="004B5EFD" w:rsidRDefault="00243583">
      <w:pPr>
        <w:tabs>
          <w:tab w:val="left" w:pos="454"/>
        </w:tabs>
        <w:ind w:left="454" w:hanging="454"/>
      </w:pPr>
      <w:r>
        <w:rPr>
          <w:b/>
        </w:rPr>
        <w:t>2.</w:t>
      </w:r>
      <w:r>
        <w:rPr>
          <w:b/>
        </w:rPr>
        <w:tab/>
        <w:t xml:space="preserve">Telafisi güç veya imkânsız zarar: </w:t>
      </w:r>
      <w:r>
        <w:t>Tasfiye kapsamında satılan varlı</w:t>
      </w:r>
      <w:r>
        <w:t>klar geri alınamayacak, ödeme sıralaması uygulandıktan sonra yatırımcılar arasındaki dağılım düzeltilemeyecektir. Sonradan verilecek bir iptal kararı bu nedenle etkisiz kalacaktır.</w:t>
      </w:r>
    </w:p>
    <w:p w:rsidR="004B5EFD" w:rsidRDefault="00243583">
      <w:r>
        <w:lastRenderedPageBreak/>
        <w:t>Tasfiyenin bütünüyle durdurulması yatırımcılar aleyhine sonuç doğurabileceğ</w:t>
      </w:r>
      <w:r>
        <w:t>inden, yürütmenin durdurulması talebimiz; (i) iade talimatları arasındaki sıralamaya ilişkin hükümler, (ii) öncelikli ödeme tutarının hesaplanmasına ilişkin belirsiz hükümler ve (iii) müvekkile yapılacak ödemenin nihai tasfiye tarihine bırakılması ile sını</w:t>
      </w:r>
      <w:r>
        <w:t>rlıdır. Müvekkilin durumu ve uyuşmazlığın niteliği gereği teminattan muafiyet ve savunma alınmadan karar verilmesi talep edilmektedir; aksi hâlde savunma süresinin kısaltılması istenmektedir.</w:t>
      </w:r>
    </w:p>
    <w:p w:rsidR="004B5EFD" w:rsidRDefault="00243583">
      <w:pPr>
        <w:keepNext/>
        <w:pBdr>
          <w:bottom w:val="single" w:sz="6" w:space="1" w:color="0C4E54"/>
        </w:pBdr>
        <w:spacing w:before="240"/>
      </w:pPr>
      <w:r>
        <w:rPr>
          <w:b/>
          <w:color w:val="0C4E54"/>
          <w:sz w:val="23"/>
        </w:rPr>
        <w:t>IV. DELİLLER</w:t>
      </w:r>
    </w:p>
    <w:p w:rsidR="004B5EFD" w:rsidRDefault="00243583">
      <w:pPr>
        <w:pStyle w:val="ListeMaddemi"/>
        <w:spacing w:after="20"/>
        <w:jc w:val="left"/>
      </w:pPr>
      <w:r>
        <w:t>SPK Kurul Karar Organı’nın 57/1708 ve 59/1710 sayıl</w:t>
      </w:r>
      <w:r>
        <w:t>ı kararları, 2026/59, 2026/60, 2026/61 ve 2026/62 sayılı Bültenler</w:t>
      </w:r>
    </w:p>
    <w:p w:rsidR="004B5EFD" w:rsidRDefault="00243583">
      <w:pPr>
        <w:pStyle w:val="ListeMaddemi"/>
        <w:spacing w:after="20"/>
        <w:jc w:val="left"/>
      </w:pPr>
      <w:r>
        <w:t>Karara esas alınan SPK denetleme raporu ve fon bazındaki tespitler (davalı idareden istenecektir)</w:t>
      </w:r>
    </w:p>
    <w:p w:rsidR="004B5EFD" w:rsidRDefault="00243583">
      <w:pPr>
        <w:pStyle w:val="ListeMaddemi"/>
        <w:spacing w:after="20"/>
        <w:jc w:val="left"/>
      </w:pPr>
      <w:r>
        <w:t>Tasfiye usul ve esasları ile tasfiye yetkilisi bankanın yazıları</w:t>
      </w:r>
    </w:p>
    <w:p w:rsidR="004B5EFD" w:rsidRDefault="00243583">
      <w:pPr>
        <w:pStyle w:val="ListeMaddemi"/>
        <w:spacing w:after="20"/>
        <w:jc w:val="left"/>
      </w:pPr>
      <w:r>
        <w:t>Fon izahnamesi, içtüzüğü v</w:t>
      </w:r>
      <w:r>
        <w:t>e yatırımcı bilgi formu</w:t>
      </w:r>
    </w:p>
    <w:p w:rsidR="004B5EFD" w:rsidRDefault="00243583">
      <w:pPr>
        <w:pStyle w:val="ListeMaddemi"/>
        <w:spacing w:after="20"/>
        <w:jc w:val="left"/>
      </w:pPr>
      <w:r>
        <w:t>MKK pay sahipliği kaydı, hesap dökümleri ve iade talimatı kayıtları</w:t>
      </w:r>
    </w:p>
    <w:p w:rsidR="004B5EFD" w:rsidRDefault="00243583">
      <w:pPr>
        <w:pStyle w:val="ListeMaddemi"/>
        <w:spacing w:after="20"/>
        <w:jc w:val="left"/>
      </w:pPr>
      <w:r>
        <w:t>Bilirkişi incelemesi ve her türlü yasal delil</w:t>
      </w:r>
    </w:p>
    <w:p w:rsidR="004B5EFD" w:rsidRDefault="00243583">
      <w:pPr>
        <w:keepNext/>
        <w:pBdr>
          <w:bottom w:val="single" w:sz="6" w:space="1" w:color="0C4E54"/>
        </w:pBdr>
        <w:spacing w:before="240"/>
      </w:pPr>
      <w:r>
        <w:rPr>
          <w:b/>
          <w:color w:val="0C4E54"/>
          <w:sz w:val="23"/>
        </w:rPr>
        <w:t>V. HUKUKİ NEDENLER</w:t>
      </w:r>
    </w:p>
    <w:p w:rsidR="004B5EFD" w:rsidRDefault="00243583">
      <w:r>
        <w:t>Anayasa m.2, m.10, m.13, m.35, m.36, m.125; AİHS Ek 1 No.lu Protokol m.1; 2577 sayılı İdari Yargıla</w:t>
      </w:r>
      <w:r>
        <w:t>ma Usulü Kanunu (m.2, 4, 7, 12, 13, 20, 27, 32); 6362 sayılı Sermaye Piyasası Kanunu (m.52, 93, 96, 128); III-52.1 sayılı Yatırım Fonlarına İlişkin Esaslar Tebliği ve ilgili mevzuat.</w:t>
      </w:r>
    </w:p>
    <w:p w:rsidR="004B5EFD" w:rsidRDefault="00243583">
      <w:pPr>
        <w:keepNext/>
        <w:pBdr>
          <w:bottom w:val="single" w:sz="6" w:space="1" w:color="0C4E54"/>
        </w:pBdr>
        <w:spacing w:before="240"/>
      </w:pPr>
      <w:r>
        <w:rPr>
          <w:b/>
          <w:color w:val="0C4E54"/>
          <w:sz w:val="23"/>
        </w:rPr>
        <w:t>VI. SONUÇ VE İSTEM</w:t>
      </w:r>
    </w:p>
    <w:p w:rsidR="004B5EFD" w:rsidRDefault="00243583">
      <w:pPr>
        <w:keepNext/>
      </w:pPr>
      <w:r>
        <w:t>Yukarıda açıklanan ve mahkemenizce resen dikkate alına</w:t>
      </w:r>
      <w:r>
        <w:t>cak nedenlerle;</w:t>
      </w:r>
    </w:p>
    <w:p w:rsidR="004B5EFD" w:rsidRDefault="00243583">
      <w:pPr>
        <w:tabs>
          <w:tab w:val="left" w:pos="454"/>
        </w:tabs>
        <w:ind w:left="454" w:hanging="454"/>
      </w:pPr>
      <w:r>
        <w:rPr>
          <w:b/>
        </w:rPr>
        <w:t>1.</w:t>
      </w:r>
      <w:r>
        <w:rPr>
          <w:b/>
        </w:rPr>
        <w:tab/>
      </w:r>
      <w:r>
        <w:t>Dava konusu işlemlerin III. bölümde belirtilen kısımları bakımından teminatsız olarak ve savunma alınmadan yürütmesinin durdurulmasına,</w:t>
      </w:r>
    </w:p>
    <w:p w:rsidR="004B5EFD" w:rsidRDefault="00243583">
      <w:pPr>
        <w:tabs>
          <w:tab w:val="left" w:pos="454"/>
        </w:tabs>
        <w:ind w:left="454" w:hanging="454"/>
      </w:pPr>
      <w:r>
        <w:rPr>
          <w:b/>
        </w:rPr>
        <w:t>2.</w:t>
      </w:r>
      <w:r>
        <w:rPr>
          <w:b/>
        </w:rPr>
        <w:tab/>
      </w:r>
      <w:r>
        <w:t>Karara esas alınan denetleme raporu ve fon bazındaki tespitlerin davalı idareden istenmesine,</w:t>
      </w:r>
    </w:p>
    <w:p w:rsidR="004B5EFD" w:rsidRDefault="00243583">
      <w:pPr>
        <w:tabs>
          <w:tab w:val="left" w:pos="454"/>
        </w:tabs>
        <w:ind w:left="454" w:hanging="454"/>
      </w:pPr>
      <w:r>
        <w:rPr>
          <w:b/>
        </w:rPr>
        <w:t>3.</w:t>
      </w:r>
      <w:r>
        <w:rPr>
          <w:b/>
        </w:rPr>
        <w:tab/>
      </w:r>
      <w:r>
        <w:t>Dava konusu işlemlerin müvekkil yönünden hukuka aykırı kısımlarının iptaline,</w:t>
      </w:r>
    </w:p>
    <w:p w:rsidR="004B5EFD" w:rsidRDefault="00243583">
      <w:pPr>
        <w:tabs>
          <w:tab w:val="left" w:pos="454"/>
        </w:tabs>
        <w:ind w:left="454" w:hanging="454"/>
      </w:pPr>
      <w:r>
        <w:rPr>
          <w:b/>
        </w:rPr>
        <w:t>4.</w:t>
      </w:r>
      <w:r>
        <w:rPr>
          <w:b/>
        </w:rPr>
        <w:tab/>
      </w:r>
      <w:r>
        <w:t>İşlem nedeniyle doğan zararlar bakımından İYUK m.12 uyarınca tam yargı davası açma hakkımızın saklı tutulmasına,</w:t>
      </w:r>
    </w:p>
    <w:p w:rsidR="004B5EFD" w:rsidRDefault="00243583">
      <w:pPr>
        <w:tabs>
          <w:tab w:val="left" w:pos="454"/>
        </w:tabs>
        <w:ind w:left="454" w:hanging="454"/>
      </w:pPr>
      <w:r>
        <w:rPr>
          <w:b/>
        </w:rPr>
        <w:t>5.</w:t>
      </w:r>
      <w:r>
        <w:rPr>
          <w:b/>
        </w:rPr>
        <w:tab/>
      </w:r>
      <w:r>
        <w:t>Yargılama giderleri ile vekâlet ücretinin davalı idareye yü</w:t>
      </w:r>
      <w:r>
        <w:t>kletilmesine</w:t>
      </w:r>
    </w:p>
    <w:p w:rsidR="004B5EFD" w:rsidRDefault="00243583">
      <w:pPr>
        <w:spacing w:after="120"/>
      </w:pPr>
      <w:r>
        <w:t>karar verilmesini saygılarımızla vekâleten arz ve talep ederiz.</w:t>
      </w:r>
    </w:p>
    <w:p w:rsidR="004B5EFD" w:rsidRDefault="00243583">
      <w:pPr>
        <w:keepNext/>
        <w:spacing w:before="80" w:after="0"/>
        <w:jc w:val="right"/>
      </w:pPr>
      <w:r>
        <w:t>[Tarih]</w:t>
      </w:r>
    </w:p>
    <w:p w:rsidR="004B5EFD" w:rsidRDefault="00243583">
      <w:pPr>
        <w:keepNext/>
        <w:spacing w:after="0"/>
        <w:jc w:val="right"/>
      </w:pPr>
      <w:r>
        <w:t>Davacı Vekili</w:t>
      </w:r>
    </w:p>
    <w:p w:rsidR="004B5EFD" w:rsidRDefault="00243583">
      <w:pPr>
        <w:keepNext/>
        <w:spacing w:after="0"/>
        <w:jc w:val="right"/>
      </w:pPr>
      <w:r>
        <w:rPr>
          <w:b/>
        </w:rPr>
        <w:t xml:space="preserve">Av. </w:t>
      </w:r>
      <w:r w:rsidR="00E55C53">
        <w:rPr>
          <w:b/>
        </w:rPr>
        <w:t>…………..</w:t>
      </w:r>
    </w:p>
    <w:p w:rsidR="004B5EFD" w:rsidRDefault="00243583">
      <w:pPr>
        <w:jc w:val="right"/>
      </w:pPr>
      <w:r>
        <w:rPr>
          <w:color w:val="5A5957"/>
        </w:rPr>
        <w:t>[İmza]</w:t>
      </w:r>
    </w:p>
    <w:p w:rsidR="004B5EFD" w:rsidRDefault="00243583">
      <w:pPr>
        <w:keepNext/>
        <w:spacing w:after="40"/>
      </w:pPr>
      <w:r>
        <w:rPr>
          <w:b/>
        </w:rPr>
        <w:t>Ekler:</w:t>
      </w:r>
    </w:p>
    <w:p w:rsidR="004B5EFD" w:rsidRDefault="00243583">
      <w:pPr>
        <w:spacing w:after="20"/>
        <w:jc w:val="left"/>
      </w:pPr>
      <w:r>
        <w:t>Ek-1: Vekâletname</w:t>
      </w:r>
    </w:p>
    <w:p w:rsidR="004B5EFD" w:rsidRDefault="00243583">
      <w:pPr>
        <w:spacing w:after="20"/>
        <w:jc w:val="left"/>
      </w:pPr>
      <w:r>
        <w:t>Ek-2: Dava konusu SPK kararları ve Bülten çıktıları</w:t>
      </w:r>
    </w:p>
    <w:p w:rsidR="004B5EFD" w:rsidRDefault="00243583">
      <w:pPr>
        <w:spacing w:after="20"/>
        <w:jc w:val="left"/>
      </w:pPr>
      <w:r>
        <w:t>Ek-3: MKK pay sahipliği kaydı</w:t>
      </w:r>
    </w:p>
    <w:p w:rsidR="004B5EFD" w:rsidRDefault="00243583">
      <w:pPr>
        <w:spacing w:after="20"/>
        <w:jc w:val="left"/>
      </w:pPr>
      <w:r>
        <w:t xml:space="preserve">Ek-4: Hesap dökümü ve iade </w:t>
      </w:r>
      <w:r>
        <w:t>talimatı kaydı</w:t>
      </w:r>
    </w:p>
    <w:p w:rsidR="004B5EFD" w:rsidRDefault="00243583">
      <w:pPr>
        <w:spacing w:after="20"/>
        <w:jc w:val="left"/>
      </w:pPr>
      <w:r>
        <w:t>Ek-5: Fon izahnamesi ve yatırımcı bilgi formu</w:t>
      </w:r>
    </w:p>
    <w:p w:rsidR="004B5EFD" w:rsidRDefault="00243583">
      <w:pPr>
        <w:spacing w:after="20"/>
        <w:jc w:val="left"/>
      </w:pPr>
      <w:r>
        <w:t>Ek-6: Tasfiye yetkilisi bankanın yazıları (varsa)</w:t>
      </w:r>
      <w:r>
        <w:br w:type="page"/>
      </w:r>
    </w:p>
    <w:p w:rsidR="004B5EFD" w:rsidRPr="00E55C53" w:rsidRDefault="00243583">
      <w:pPr>
        <w:keepNext/>
        <w:pBdr>
          <w:bottom w:val="single" w:sz="6" w:space="1" w:color="0C4E54"/>
        </w:pBdr>
        <w:spacing w:before="240"/>
        <w:rPr>
          <w:color w:val="C00000"/>
        </w:rPr>
      </w:pPr>
      <w:r w:rsidRPr="00E55C53">
        <w:rPr>
          <w:b/>
          <w:color w:val="C00000"/>
          <w:sz w:val="23"/>
        </w:rPr>
        <w:lastRenderedPageBreak/>
        <w:t>BÖLÜM C — USUL NOTLARI VE KAYNAKLAR</w:t>
      </w:r>
    </w:p>
    <w:p w:rsidR="004B5EFD" w:rsidRPr="00E55C53" w:rsidRDefault="00243583">
      <w:pPr>
        <w:rPr>
          <w:color w:val="C00000"/>
        </w:rPr>
      </w:pPr>
      <w:r w:rsidRPr="00E55C53">
        <w:rPr>
          <w:color w:val="C00000"/>
          <w:sz w:val="19"/>
        </w:rPr>
        <w:t>Bu bölüm dilekçenin parçası değildir; dava açılmadan önce çıkarılmalıdır.</w:t>
      </w:r>
    </w:p>
    <w:p w:rsidR="004B5EFD" w:rsidRPr="00E55C53" w:rsidRDefault="00243583">
      <w:pPr>
        <w:keepNext/>
        <w:spacing w:after="60"/>
        <w:rPr>
          <w:color w:val="C00000"/>
        </w:rPr>
      </w:pPr>
      <w:r w:rsidRPr="00E55C53">
        <w:rPr>
          <w:b/>
          <w:color w:val="C00000"/>
        </w:rPr>
        <w:t>1. Yetkili mahkeme</w:t>
      </w:r>
    </w:p>
    <w:p w:rsidR="004B5EFD" w:rsidRPr="00E55C53" w:rsidRDefault="00E55C53">
      <w:pPr>
        <w:rPr>
          <w:color w:val="C00000"/>
        </w:rPr>
      </w:pPr>
      <w:r>
        <w:rPr>
          <w:color w:val="C00000"/>
        </w:rPr>
        <w:t>Y</w:t>
      </w:r>
      <w:bookmarkStart w:id="0" w:name="_GoBack"/>
      <w:bookmarkEnd w:id="0"/>
      <w:r w:rsidR="00243583" w:rsidRPr="00E55C53">
        <w:rPr>
          <w:color w:val="C00000"/>
        </w:rPr>
        <w:t xml:space="preserve">etkili mahkeme, işlemi yapan idari merciin bulunduğu yer idare mahkemesidir; SPK’nın merkezi Ankara olduğundan dilekçe Ankara İdare Mahkemesi’ne hitaben düzenlenmiştir. İYUK </w:t>
      </w:r>
      <w:r w:rsidR="00243583" w:rsidRPr="00E55C53">
        <w:rPr>
          <w:color w:val="C00000"/>
        </w:rPr>
        <w:t xml:space="preserve">m.4 uyarınca dilekçe İstanbul’daki idare mahkemesi başkanlığına verilerek Ankara’ya gönderilebilir. Usul ve esasların ülke çapında uygulanan düzenleyici işlem niteliğinde görülmesi hâlinde Danıştay’ın ilk derece mahkemesi olarak görevli sayılması ihtimali </w:t>
      </w:r>
      <w:r w:rsidR="00243583" w:rsidRPr="00E55C53">
        <w:rPr>
          <w:color w:val="C00000"/>
        </w:rPr>
        <w:t>(İYUK m.24/1-c) bulunduğundan, dava açılmadan önce güncel içtihat kontrol edilmelidir; görevsiz mahkemede açılan dava dilekçesi görevli yere gönderilir ve süre korunur (İYUK m.15/1-a).</w:t>
      </w:r>
    </w:p>
    <w:p w:rsidR="004B5EFD" w:rsidRPr="00E55C53" w:rsidRDefault="00243583">
      <w:pPr>
        <w:keepNext/>
        <w:spacing w:after="60"/>
        <w:rPr>
          <w:color w:val="C00000"/>
        </w:rPr>
      </w:pPr>
      <w:r w:rsidRPr="00E55C53">
        <w:rPr>
          <w:b/>
          <w:color w:val="C00000"/>
        </w:rPr>
        <w:t>2. Süre tablosu</w:t>
      </w:r>
    </w:p>
    <w:tbl>
      <w:tblPr>
        <w:tblStyle w:val="TabloKlavuzu"/>
        <w:tblW w:w="0" w:type="auto"/>
        <w:jc w:val="center"/>
        <w:tblLayout w:type="fixed"/>
        <w:tblLook w:val="04A0" w:firstRow="1" w:lastRow="0" w:firstColumn="1" w:lastColumn="0" w:noHBand="0" w:noVBand="1"/>
      </w:tblPr>
      <w:tblGrid>
        <w:gridCol w:w="3175"/>
        <w:gridCol w:w="3515"/>
        <w:gridCol w:w="2551"/>
      </w:tblGrid>
      <w:tr w:rsidR="00E55C53" w:rsidRPr="00E55C53">
        <w:trPr>
          <w:jc w:val="center"/>
        </w:trPr>
        <w:tc>
          <w:tcPr>
            <w:tcW w:w="3175" w:type="dxa"/>
            <w:shd w:val="clear" w:color="auto" w:fill="0C4E54"/>
          </w:tcPr>
          <w:p w:rsidR="004B5EFD" w:rsidRPr="00E55C53" w:rsidRDefault="00243583">
            <w:pPr>
              <w:rPr>
                <w:color w:val="C00000"/>
              </w:rPr>
            </w:pPr>
            <w:r w:rsidRPr="00E55C53">
              <w:rPr>
                <w:b/>
                <w:color w:val="C00000"/>
                <w:sz w:val="19"/>
              </w:rPr>
              <w:t>İşlem</w:t>
            </w:r>
          </w:p>
        </w:tc>
        <w:tc>
          <w:tcPr>
            <w:tcW w:w="3515" w:type="dxa"/>
            <w:shd w:val="clear" w:color="auto" w:fill="0C4E54"/>
          </w:tcPr>
          <w:p w:rsidR="004B5EFD" w:rsidRPr="00E55C53" w:rsidRDefault="00243583">
            <w:pPr>
              <w:rPr>
                <w:color w:val="C00000"/>
              </w:rPr>
            </w:pPr>
            <w:r w:rsidRPr="00E55C53">
              <w:rPr>
                <w:b/>
                <w:color w:val="C00000"/>
                <w:sz w:val="19"/>
              </w:rPr>
              <w:t>Süre</w:t>
            </w:r>
          </w:p>
        </w:tc>
        <w:tc>
          <w:tcPr>
            <w:tcW w:w="2551" w:type="dxa"/>
            <w:shd w:val="clear" w:color="auto" w:fill="0C4E54"/>
          </w:tcPr>
          <w:p w:rsidR="004B5EFD" w:rsidRPr="00E55C53" w:rsidRDefault="00243583">
            <w:pPr>
              <w:rPr>
                <w:color w:val="C00000"/>
              </w:rPr>
            </w:pPr>
            <w:r w:rsidRPr="00E55C53">
              <w:rPr>
                <w:b/>
                <w:color w:val="C00000"/>
                <w:sz w:val="19"/>
              </w:rPr>
              <w:t>Son gün (temkinli hesap)</w:t>
            </w:r>
          </w:p>
        </w:tc>
      </w:tr>
      <w:tr w:rsidR="00E55C53" w:rsidRPr="00E55C53">
        <w:trPr>
          <w:jc w:val="center"/>
        </w:trPr>
        <w:tc>
          <w:tcPr>
            <w:tcW w:w="3175" w:type="dxa"/>
          </w:tcPr>
          <w:p w:rsidR="004B5EFD" w:rsidRPr="00E55C53" w:rsidRDefault="00243583">
            <w:pPr>
              <w:spacing w:after="20" w:line="252" w:lineRule="auto"/>
              <w:jc w:val="left"/>
              <w:rPr>
                <w:color w:val="C00000"/>
              </w:rPr>
            </w:pPr>
            <w:r w:rsidRPr="00E55C53">
              <w:rPr>
                <w:color w:val="C00000"/>
                <w:sz w:val="19"/>
              </w:rPr>
              <w:t xml:space="preserve">57/1708 </w:t>
            </w:r>
            <w:proofErr w:type="spellStart"/>
            <w:r w:rsidRPr="00E55C53">
              <w:rPr>
                <w:color w:val="C00000"/>
                <w:sz w:val="19"/>
              </w:rPr>
              <w:t>sayılı</w:t>
            </w:r>
            <w:proofErr w:type="spellEnd"/>
            <w:r w:rsidRPr="00E55C53">
              <w:rPr>
                <w:color w:val="C00000"/>
                <w:sz w:val="19"/>
              </w:rPr>
              <w:t xml:space="preserve"> </w:t>
            </w:r>
            <w:proofErr w:type="spellStart"/>
            <w:r w:rsidRPr="00E55C53">
              <w:rPr>
                <w:color w:val="C00000"/>
                <w:sz w:val="19"/>
              </w:rPr>
              <w:t>karara</w:t>
            </w:r>
            <w:proofErr w:type="spellEnd"/>
            <w:r w:rsidRPr="00E55C53">
              <w:rPr>
                <w:color w:val="C00000"/>
                <w:sz w:val="19"/>
              </w:rPr>
              <w:t xml:space="preserve"> </w:t>
            </w:r>
            <w:proofErr w:type="spellStart"/>
            <w:r w:rsidRPr="00E55C53">
              <w:rPr>
                <w:color w:val="C00000"/>
                <w:sz w:val="19"/>
              </w:rPr>
              <w:t>karşı</w:t>
            </w:r>
            <w:proofErr w:type="spellEnd"/>
            <w:r w:rsidRPr="00E55C53">
              <w:rPr>
                <w:color w:val="C00000"/>
                <w:sz w:val="19"/>
              </w:rPr>
              <w:t xml:space="preserve"> iptal davası</w:t>
            </w:r>
          </w:p>
        </w:tc>
        <w:tc>
          <w:tcPr>
            <w:tcW w:w="3515" w:type="dxa"/>
          </w:tcPr>
          <w:p w:rsidR="004B5EFD" w:rsidRPr="00E55C53" w:rsidRDefault="00243583">
            <w:pPr>
              <w:spacing w:after="20" w:line="252" w:lineRule="auto"/>
              <w:jc w:val="left"/>
              <w:rPr>
                <w:color w:val="C00000"/>
              </w:rPr>
            </w:pPr>
            <w:r w:rsidRPr="00E55C53">
              <w:rPr>
                <w:color w:val="C00000"/>
                <w:sz w:val="19"/>
              </w:rPr>
              <w:t>İlandan itibaren 60 gün (İYUK m.7)</w:t>
            </w:r>
          </w:p>
        </w:tc>
        <w:tc>
          <w:tcPr>
            <w:tcW w:w="2551" w:type="dxa"/>
          </w:tcPr>
          <w:p w:rsidR="004B5EFD" w:rsidRPr="00E55C53" w:rsidRDefault="00243583">
            <w:pPr>
              <w:spacing w:after="20" w:line="252" w:lineRule="auto"/>
              <w:jc w:val="left"/>
              <w:rPr>
                <w:color w:val="C00000"/>
              </w:rPr>
            </w:pPr>
            <w:r w:rsidRPr="00E55C53">
              <w:rPr>
                <w:color w:val="C00000"/>
                <w:sz w:val="19"/>
              </w:rPr>
              <w:t>16.11.2026 Pazartesi</w:t>
            </w:r>
          </w:p>
        </w:tc>
      </w:tr>
      <w:tr w:rsidR="00E55C53" w:rsidRPr="00E55C53">
        <w:trPr>
          <w:jc w:val="center"/>
        </w:trPr>
        <w:tc>
          <w:tcPr>
            <w:tcW w:w="3175" w:type="dxa"/>
            <w:shd w:val="clear" w:color="auto" w:fill="F4F7F7"/>
          </w:tcPr>
          <w:p w:rsidR="004B5EFD" w:rsidRPr="00E55C53" w:rsidRDefault="00243583">
            <w:pPr>
              <w:spacing w:after="20" w:line="252" w:lineRule="auto"/>
              <w:jc w:val="left"/>
              <w:rPr>
                <w:color w:val="C00000"/>
              </w:rPr>
            </w:pPr>
            <w:r w:rsidRPr="00E55C53">
              <w:rPr>
                <w:color w:val="C00000"/>
                <w:sz w:val="19"/>
              </w:rPr>
              <w:t xml:space="preserve">59/1710 </w:t>
            </w:r>
            <w:proofErr w:type="spellStart"/>
            <w:r w:rsidRPr="00E55C53">
              <w:rPr>
                <w:color w:val="C00000"/>
                <w:sz w:val="19"/>
              </w:rPr>
              <w:t>sayılı</w:t>
            </w:r>
            <w:proofErr w:type="spellEnd"/>
            <w:r w:rsidRPr="00E55C53">
              <w:rPr>
                <w:color w:val="C00000"/>
                <w:sz w:val="19"/>
              </w:rPr>
              <w:t xml:space="preserve"> </w:t>
            </w:r>
            <w:proofErr w:type="spellStart"/>
            <w:r w:rsidRPr="00E55C53">
              <w:rPr>
                <w:color w:val="C00000"/>
                <w:sz w:val="19"/>
              </w:rPr>
              <w:t>karara</w:t>
            </w:r>
            <w:proofErr w:type="spellEnd"/>
            <w:r w:rsidRPr="00E55C53">
              <w:rPr>
                <w:color w:val="C00000"/>
                <w:sz w:val="19"/>
              </w:rPr>
              <w:t xml:space="preserve"> </w:t>
            </w:r>
            <w:proofErr w:type="spellStart"/>
            <w:r w:rsidRPr="00E55C53">
              <w:rPr>
                <w:color w:val="C00000"/>
                <w:sz w:val="19"/>
              </w:rPr>
              <w:t>karşı</w:t>
            </w:r>
            <w:proofErr w:type="spellEnd"/>
            <w:r w:rsidRPr="00E55C53">
              <w:rPr>
                <w:color w:val="C00000"/>
                <w:sz w:val="19"/>
              </w:rPr>
              <w:t xml:space="preserve"> iptal davası</w:t>
            </w:r>
          </w:p>
        </w:tc>
        <w:tc>
          <w:tcPr>
            <w:tcW w:w="3515" w:type="dxa"/>
            <w:shd w:val="clear" w:color="auto" w:fill="F4F7F7"/>
          </w:tcPr>
          <w:p w:rsidR="004B5EFD" w:rsidRPr="00E55C53" w:rsidRDefault="00243583">
            <w:pPr>
              <w:spacing w:after="20" w:line="252" w:lineRule="auto"/>
              <w:jc w:val="left"/>
              <w:rPr>
                <w:color w:val="C00000"/>
              </w:rPr>
            </w:pPr>
            <w:r w:rsidRPr="00E55C53">
              <w:rPr>
                <w:color w:val="C00000"/>
                <w:sz w:val="19"/>
              </w:rPr>
              <w:t>İlandan itibaren 60 gün (İYUK m.7)</w:t>
            </w:r>
          </w:p>
        </w:tc>
        <w:tc>
          <w:tcPr>
            <w:tcW w:w="2551" w:type="dxa"/>
            <w:shd w:val="clear" w:color="auto" w:fill="F4F7F7"/>
          </w:tcPr>
          <w:p w:rsidR="004B5EFD" w:rsidRPr="00E55C53" w:rsidRDefault="00243583">
            <w:pPr>
              <w:spacing w:after="20" w:line="252" w:lineRule="auto"/>
              <w:jc w:val="left"/>
              <w:rPr>
                <w:color w:val="C00000"/>
              </w:rPr>
            </w:pPr>
            <w:r w:rsidRPr="00E55C53">
              <w:rPr>
                <w:color w:val="C00000"/>
                <w:sz w:val="19"/>
              </w:rPr>
              <w:t>19.11.2026 Perşembe</w:t>
            </w:r>
          </w:p>
        </w:tc>
      </w:tr>
      <w:tr w:rsidR="00E55C53" w:rsidRPr="00E55C53">
        <w:trPr>
          <w:jc w:val="center"/>
        </w:trPr>
        <w:tc>
          <w:tcPr>
            <w:tcW w:w="3175" w:type="dxa"/>
          </w:tcPr>
          <w:p w:rsidR="004B5EFD" w:rsidRPr="00E55C53" w:rsidRDefault="00243583">
            <w:pPr>
              <w:spacing w:after="20" w:line="252" w:lineRule="auto"/>
              <w:jc w:val="left"/>
              <w:rPr>
                <w:color w:val="C00000"/>
              </w:rPr>
            </w:pPr>
            <w:r w:rsidRPr="00E55C53">
              <w:rPr>
                <w:color w:val="C00000"/>
                <w:sz w:val="19"/>
              </w:rPr>
              <w:t xml:space="preserve">Tam </w:t>
            </w:r>
            <w:proofErr w:type="spellStart"/>
            <w:r w:rsidRPr="00E55C53">
              <w:rPr>
                <w:color w:val="C00000"/>
                <w:sz w:val="19"/>
              </w:rPr>
              <w:t>yargı</w:t>
            </w:r>
            <w:proofErr w:type="spellEnd"/>
            <w:r w:rsidRPr="00E55C53">
              <w:rPr>
                <w:color w:val="C00000"/>
                <w:sz w:val="19"/>
              </w:rPr>
              <w:t xml:space="preserve"> </w:t>
            </w:r>
            <w:proofErr w:type="spellStart"/>
            <w:r w:rsidRPr="00E55C53">
              <w:rPr>
                <w:color w:val="C00000"/>
                <w:sz w:val="19"/>
              </w:rPr>
              <w:t>davası</w:t>
            </w:r>
            <w:proofErr w:type="spellEnd"/>
            <w:r w:rsidRPr="00E55C53">
              <w:rPr>
                <w:color w:val="C00000"/>
                <w:sz w:val="19"/>
              </w:rPr>
              <w:t xml:space="preserve"> (</w:t>
            </w:r>
            <w:proofErr w:type="spellStart"/>
            <w:r w:rsidRPr="00E55C53">
              <w:rPr>
                <w:color w:val="C00000"/>
                <w:sz w:val="19"/>
              </w:rPr>
              <w:t>iptal</w:t>
            </w:r>
            <w:proofErr w:type="spellEnd"/>
            <w:r w:rsidRPr="00E55C53">
              <w:rPr>
                <w:color w:val="C00000"/>
                <w:sz w:val="19"/>
              </w:rPr>
              <w:t xml:space="preserve"> sonrası)</w:t>
            </w:r>
          </w:p>
        </w:tc>
        <w:tc>
          <w:tcPr>
            <w:tcW w:w="3515" w:type="dxa"/>
          </w:tcPr>
          <w:p w:rsidR="004B5EFD" w:rsidRPr="00E55C53" w:rsidRDefault="00243583">
            <w:pPr>
              <w:spacing w:after="20" w:line="252" w:lineRule="auto"/>
              <w:jc w:val="left"/>
              <w:rPr>
                <w:color w:val="C00000"/>
              </w:rPr>
            </w:pPr>
            <w:r w:rsidRPr="00E55C53">
              <w:rPr>
                <w:color w:val="C00000"/>
                <w:sz w:val="19"/>
              </w:rPr>
              <w:t>İptal kararının tebliğinden itibaren 60 gün</w:t>
            </w:r>
            <w:r w:rsidRPr="00E55C53">
              <w:rPr>
                <w:color w:val="C00000"/>
                <w:sz w:val="19"/>
              </w:rPr>
              <w:t xml:space="preserve"> (İYUK m.12)</w:t>
            </w:r>
          </w:p>
        </w:tc>
        <w:tc>
          <w:tcPr>
            <w:tcW w:w="2551" w:type="dxa"/>
          </w:tcPr>
          <w:p w:rsidR="004B5EFD" w:rsidRPr="00E55C53" w:rsidRDefault="00243583">
            <w:pPr>
              <w:spacing w:after="20" w:line="252" w:lineRule="auto"/>
              <w:jc w:val="left"/>
              <w:rPr>
                <w:color w:val="C00000"/>
              </w:rPr>
            </w:pPr>
            <w:r w:rsidRPr="00E55C53">
              <w:rPr>
                <w:color w:val="C00000"/>
                <w:sz w:val="19"/>
              </w:rPr>
              <w:t>Kararın tebliğine göre</w:t>
            </w:r>
          </w:p>
        </w:tc>
      </w:tr>
      <w:tr w:rsidR="00E55C53" w:rsidRPr="00E55C53">
        <w:trPr>
          <w:jc w:val="center"/>
        </w:trPr>
        <w:tc>
          <w:tcPr>
            <w:tcW w:w="3175" w:type="dxa"/>
            <w:shd w:val="clear" w:color="auto" w:fill="F4F7F7"/>
          </w:tcPr>
          <w:p w:rsidR="004B5EFD" w:rsidRPr="00E55C53" w:rsidRDefault="00243583">
            <w:pPr>
              <w:spacing w:after="20" w:line="252" w:lineRule="auto"/>
              <w:jc w:val="left"/>
              <w:rPr>
                <w:color w:val="C00000"/>
              </w:rPr>
            </w:pPr>
            <w:r w:rsidRPr="00E55C53">
              <w:rPr>
                <w:color w:val="C00000"/>
                <w:sz w:val="19"/>
              </w:rPr>
              <w:t xml:space="preserve">Tam </w:t>
            </w:r>
            <w:proofErr w:type="spellStart"/>
            <w:r w:rsidRPr="00E55C53">
              <w:rPr>
                <w:color w:val="C00000"/>
                <w:sz w:val="19"/>
              </w:rPr>
              <w:t>yargı</w:t>
            </w:r>
            <w:proofErr w:type="spellEnd"/>
            <w:r w:rsidRPr="00E55C53">
              <w:rPr>
                <w:color w:val="C00000"/>
                <w:sz w:val="19"/>
              </w:rPr>
              <w:t xml:space="preserve"> </w:t>
            </w:r>
            <w:proofErr w:type="spellStart"/>
            <w:r w:rsidRPr="00E55C53">
              <w:rPr>
                <w:color w:val="C00000"/>
                <w:sz w:val="19"/>
              </w:rPr>
              <w:t>için</w:t>
            </w:r>
            <w:proofErr w:type="spellEnd"/>
            <w:r w:rsidRPr="00E55C53">
              <w:rPr>
                <w:color w:val="C00000"/>
                <w:sz w:val="19"/>
              </w:rPr>
              <w:t xml:space="preserve"> </w:t>
            </w:r>
            <w:proofErr w:type="spellStart"/>
            <w:r w:rsidRPr="00E55C53">
              <w:rPr>
                <w:color w:val="C00000"/>
                <w:sz w:val="19"/>
              </w:rPr>
              <w:t>idareye</w:t>
            </w:r>
            <w:proofErr w:type="spellEnd"/>
            <w:r w:rsidRPr="00E55C53">
              <w:rPr>
                <w:color w:val="C00000"/>
                <w:sz w:val="19"/>
              </w:rPr>
              <w:t xml:space="preserve"> başvuru (eylem)</w:t>
            </w:r>
          </w:p>
        </w:tc>
        <w:tc>
          <w:tcPr>
            <w:tcW w:w="3515" w:type="dxa"/>
            <w:shd w:val="clear" w:color="auto" w:fill="F4F7F7"/>
          </w:tcPr>
          <w:p w:rsidR="004B5EFD" w:rsidRPr="00E55C53" w:rsidRDefault="00243583">
            <w:pPr>
              <w:spacing w:after="20" w:line="252" w:lineRule="auto"/>
              <w:jc w:val="left"/>
              <w:rPr>
                <w:color w:val="C00000"/>
              </w:rPr>
            </w:pPr>
            <w:r w:rsidRPr="00E55C53">
              <w:rPr>
                <w:color w:val="C00000"/>
                <w:sz w:val="19"/>
              </w:rPr>
              <w:t>Öğrenmeden itibaren 1 yıl, her hâlde 5 yıl (İYUK m.13)</w:t>
            </w:r>
          </w:p>
        </w:tc>
        <w:tc>
          <w:tcPr>
            <w:tcW w:w="2551" w:type="dxa"/>
            <w:shd w:val="clear" w:color="auto" w:fill="F4F7F7"/>
          </w:tcPr>
          <w:p w:rsidR="004B5EFD" w:rsidRPr="00E55C53" w:rsidRDefault="00243583">
            <w:pPr>
              <w:spacing w:after="20" w:line="252" w:lineRule="auto"/>
              <w:jc w:val="left"/>
              <w:rPr>
                <w:color w:val="C00000"/>
              </w:rPr>
            </w:pPr>
            <w:r w:rsidRPr="00E55C53">
              <w:rPr>
                <w:color w:val="C00000"/>
                <w:sz w:val="19"/>
              </w:rPr>
              <w:t>Öğrenme tarihi 17.09.2026 kabul edilirse 17.09.2027</w:t>
            </w:r>
          </w:p>
        </w:tc>
      </w:tr>
      <w:tr w:rsidR="004B5EFD" w:rsidRPr="00E55C53">
        <w:trPr>
          <w:jc w:val="center"/>
        </w:trPr>
        <w:tc>
          <w:tcPr>
            <w:tcW w:w="3175" w:type="dxa"/>
          </w:tcPr>
          <w:p w:rsidR="004B5EFD" w:rsidRPr="00E55C53" w:rsidRDefault="00243583">
            <w:pPr>
              <w:spacing w:after="20" w:line="252" w:lineRule="auto"/>
              <w:jc w:val="left"/>
              <w:rPr>
                <w:color w:val="C00000"/>
              </w:rPr>
            </w:pPr>
            <w:r w:rsidRPr="00E55C53">
              <w:rPr>
                <w:color w:val="C00000"/>
                <w:sz w:val="19"/>
              </w:rPr>
              <w:t xml:space="preserve">YD </w:t>
            </w:r>
            <w:proofErr w:type="spellStart"/>
            <w:r w:rsidRPr="00E55C53">
              <w:rPr>
                <w:color w:val="C00000"/>
                <w:sz w:val="19"/>
              </w:rPr>
              <w:t>kararına</w:t>
            </w:r>
            <w:proofErr w:type="spellEnd"/>
            <w:r w:rsidRPr="00E55C53">
              <w:rPr>
                <w:color w:val="C00000"/>
                <w:sz w:val="19"/>
              </w:rPr>
              <w:t xml:space="preserve"> </w:t>
            </w:r>
            <w:proofErr w:type="spellStart"/>
            <w:r w:rsidRPr="00E55C53">
              <w:rPr>
                <w:color w:val="C00000"/>
                <w:sz w:val="19"/>
              </w:rPr>
              <w:t>itiraz</w:t>
            </w:r>
            <w:proofErr w:type="spellEnd"/>
          </w:p>
        </w:tc>
        <w:tc>
          <w:tcPr>
            <w:tcW w:w="3515" w:type="dxa"/>
          </w:tcPr>
          <w:p w:rsidR="004B5EFD" w:rsidRPr="00E55C53" w:rsidRDefault="00243583">
            <w:pPr>
              <w:spacing w:after="20" w:line="252" w:lineRule="auto"/>
              <w:jc w:val="left"/>
              <w:rPr>
                <w:color w:val="C00000"/>
              </w:rPr>
            </w:pPr>
            <w:r w:rsidRPr="00E55C53">
              <w:rPr>
                <w:color w:val="C00000"/>
                <w:sz w:val="19"/>
              </w:rPr>
              <w:t>Tebliğden itibaren 7 gün (İYUK m.27/7)</w:t>
            </w:r>
          </w:p>
        </w:tc>
        <w:tc>
          <w:tcPr>
            <w:tcW w:w="2551" w:type="dxa"/>
          </w:tcPr>
          <w:p w:rsidR="004B5EFD" w:rsidRPr="00E55C53" w:rsidRDefault="00243583">
            <w:pPr>
              <w:spacing w:after="20" w:line="252" w:lineRule="auto"/>
              <w:jc w:val="left"/>
              <w:rPr>
                <w:color w:val="C00000"/>
              </w:rPr>
            </w:pPr>
            <w:r w:rsidRPr="00E55C53">
              <w:rPr>
                <w:color w:val="C00000"/>
                <w:sz w:val="19"/>
              </w:rPr>
              <w:t>Kararın tebliğ</w:t>
            </w:r>
            <w:r w:rsidRPr="00E55C53">
              <w:rPr>
                <w:color w:val="C00000"/>
                <w:sz w:val="19"/>
              </w:rPr>
              <w:t>ine göre</w:t>
            </w:r>
          </w:p>
        </w:tc>
      </w:tr>
    </w:tbl>
    <w:p w:rsidR="004B5EFD" w:rsidRPr="00E55C53" w:rsidRDefault="004B5EFD">
      <w:pPr>
        <w:spacing w:after="0"/>
        <w:rPr>
          <w:color w:val="C00000"/>
        </w:rPr>
      </w:pPr>
    </w:p>
    <w:p w:rsidR="004B5EFD" w:rsidRPr="00E55C53" w:rsidRDefault="00243583">
      <w:pPr>
        <w:pStyle w:val="ListeMaddemi"/>
        <w:spacing w:after="20"/>
        <w:jc w:val="left"/>
        <w:rPr>
          <w:color w:val="C00000"/>
        </w:rPr>
      </w:pPr>
      <w:proofErr w:type="spellStart"/>
      <w:r w:rsidRPr="00E55C53">
        <w:rPr>
          <w:color w:val="C00000"/>
        </w:rPr>
        <w:t>Dava</w:t>
      </w:r>
      <w:proofErr w:type="spellEnd"/>
      <w:r w:rsidRPr="00E55C53">
        <w:rPr>
          <w:color w:val="C00000"/>
        </w:rPr>
        <w:t xml:space="preserve"> </w:t>
      </w:r>
      <w:proofErr w:type="spellStart"/>
      <w:r w:rsidRPr="00E55C53">
        <w:rPr>
          <w:color w:val="C00000"/>
        </w:rPr>
        <w:t>konusu</w:t>
      </w:r>
      <w:proofErr w:type="spellEnd"/>
      <w:r w:rsidRPr="00E55C53">
        <w:rPr>
          <w:color w:val="C00000"/>
        </w:rPr>
        <w:t xml:space="preserve"> </w:t>
      </w:r>
      <w:proofErr w:type="spellStart"/>
      <w:r w:rsidRPr="00E55C53">
        <w:rPr>
          <w:color w:val="C00000"/>
        </w:rPr>
        <w:t>usul</w:t>
      </w:r>
      <w:proofErr w:type="spellEnd"/>
      <w:r w:rsidRPr="00E55C53">
        <w:rPr>
          <w:color w:val="C00000"/>
        </w:rPr>
        <w:t xml:space="preserve"> </w:t>
      </w:r>
      <w:proofErr w:type="spellStart"/>
      <w:r w:rsidRPr="00E55C53">
        <w:rPr>
          <w:color w:val="C00000"/>
        </w:rPr>
        <w:t>ve</w:t>
      </w:r>
      <w:proofErr w:type="spellEnd"/>
      <w:r w:rsidRPr="00E55C53">
        <w:rPr>
          <w:color w:val="C00000"/>
        </w:rPr>
        <w:t xml:space="preserve"> esasların mad</w:t>
      </w:r>
      <w:r w:rsidRPr="00E55C53">
        <w:rPr>
          <w:color w:val="C00000"/>
        </w:rPr>
        <w:t>de numaraları, 2026/61 sayılı Bültenin ekinden kontrol edilerek dilekçeye işlenmelidir.</w:t>
      </w:r>
    </w:p>
    <w:p w:rsidR="004B5EFD" w:rsidRPr="00E55C53" w:rsidRDefault="004B5EFD" w:rsidP="00E55C53">
      <w:pPr>
        <w:pStyle w:val="ListeMaddemi"/>
        <w:numPr>
          <w:ilvl w:val="0"/>
          <w:numId w:val="0"/>
        </w:numPr>
        <w:spacing w:after="20"/>
        <w:ind w:left="360"/>
        <w:jc w:val="left"/>
        <w:rPr>
          <w:color w:val="C00000"/>
        </w:rPr>
      </w:pPr>
    </w:p>
    <w:sectPr w:rsidR="004B5EFD" w:rsidRPr="00E55C53" w:rsidSect="00034616">
      <w:footerReference w:type="default" r:id="rId9"/>
      <w:pgSz w:w="11906" w:h="16838"/>
      <w:pgMar w:top="1247" w:right="124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583" w:rsidRDefault="00243583">
      <w:pPr>
        <w:spacing w:after="0" w:line="240" w:lineRule="auto"/>
      </w:pPr>
      <w:r>
        <w:separator/>
      </w:r>
    </w:p>
  </w:endnote>
  <w:endnote w:type="continuationSeparator" w:id="0">
    <w:p w:rsidR="00243583" w:rsidRDefault="0024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EFD" w:rsidRDefault="00243583">
    <w:pPr>
      <w:pStyle w:val="Altbilgi"/>
      <w:jc w:val="center"/>
    </w:pPr>
    <w:r>
      <w:rPr>
        <w:color w:val="5A5957"/>
        <w:sz w:val="16"/>
      </w:rPr>
      <w:t xml:space="preserve">SPK Tasfiye Kararına Karşı İdari Yargı Yolu  |  Hazırlayan: Av. Şahin Baran  |  Sayfa </w:t>
    </w:r>
    <w:r>
      <w:fldChar w:fldCharType="begin"/>
    </w:r>
    <w:r>
      <w:instrText>PAGE</w:instrText>
    </w:r>
    <w:r>
      <w:fldChar w:fldCharType="separate"/>
    </w:r>
    <w:r w:rsidR="00E55C53">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583" w:rsidRDefault="00243583">
      <w:pPr>
        <w:spacing w:after="0" w:line="240" w:lineRule="auto"/>
      </w:pPr>
      <w:r>
        <w:separator/>
      </w:r>
    </w:p>
  </w:footnote>
  <w:footnote w:type="continuationSeparator" w:id="0">
    <w:p w:rsidR="00243583" w:rsidRDefault="002435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43583"/>
    <w:rsid w:val="0029639D"/>
    <w:rsid w:val="00326F90"/>
    <w:rsid w:val="004B5EFD"/>
    <w:rsid w:val="00AA1D8D"/>
    <w:rsid w:val="00B47730"/>
    <w:rsid w:val="00CB0664"/>
    <w:rsid w:val="00E55C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DA8C4-DC26-4CC9-9265-C5E293044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Macbook</cp:lastModifiedBy>
  <cp:revision>2</cp:revision>
  <dcterms:created xsi:type="dcterms:W3CDTF">2013-12-23T23:15:00Z</dcterms:created>
  <dcterms:modified xsi:type="dcterms:W3CDTF">2026-09-23T13:16:00Z</dcterms:modified>
  <cp:category/>
</cp:coreProperties>
</file>