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995" w:rsidRDefault="005A0066">
      <w:pPr>
        <w:spacing w:after="40"/>
        <w:jc w:val="center"/>
      </w:pPr>
      <w:r>
        <w:rPr>
          <w:b/>
          <w:color w:val="5A5957"/>
          <w:sz w:val="20"/>
        </w:rPr>
        <w:t>HUKUKİ DEĞERLENDİRME VE BAŞVURU DİLEKÇELERİ</w:t>
      </w:r>
    </w:p>
    <w:p w:rsidR="00634995" w:rsidRDefault="005A0066">
      <w:pPr>
        <w:spacing w:after="40"/>
        <w:jc w:val="center"/>
      </w:pPr>
      <w:r>
        <w:rPr>
          <w:b/>
          <w:color w:val="0C4E54"/>
          <w:sz w:val="32"/>
        </w:rPr>
        <w:t>TSPB MÜŞTERİ UYUŞMAZLIKLARI HAKEM HEYETİ BAŞVURUSU</w:t>
      </w:r>
    </w:p>
    <w:p w:rsidR="00634995" w:rsidRDefault="005A0066">
      <w:pPr>
        <w:spacing w:after="200"/>
        <w:jc w:val="center"/>
      </w:pPr>
      <w:r>
        <w:rPr>
          <w:color w:val="5A5957"/>
          <w:sz w:val="19"/>
        </w:rPr>
        <w:t>Hazırlayan: Av. Şahin Baran  |  23 Eylül 2026</w:t>
      </w: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BÖLÜM A — ÖN DEĞERLENDİRME</w:t>
      </w:r>
    </w:p>
    <w:p w:rsidR="00634995" w:rsidRDefault="005A0066">
      <w:r>
        <w:t xml:space="preserve">Türkiye Sermaye Piyasaları Birliği (TSPB) Müşteri Uyuşmazlıkları Hakem Heyeti; Birlik </w:t>
      </w:r>
      <w:r>
        <w:t>üyeleri (aracı kurumlar, bankalar, portföy yönetim şirketleri) ile müşterileri arasındaki, borsa işlemleri dışındaki sermaye piyasası faaliyetlerinden doğan zarar ve tazmin talepli uyuşmazlıkları ücretsiz olarak inceler. Ancak Yönerge’nin 8. maddesindeki k</w:t>
      </w:r>
      <w:r>
        <w:t>apsam dışı hâller, fon krizi başvurularının önemli bir kısmının sekretarya aşamasında reddedilmesine yol açabilir. Başvuru yapılmadan önce aşağıdaki kontrol tablosu doldurulmalıdır.</w:t>
      </w:r>
    </w:p>
    <w:p w:rsidR="00634995" w:rsidRDefault="005A0066">
      <w:pPr>
        <w:keepNext/>
        <w:spacing w:after="60"/>
      </w:pPr>
      <w:r>
        <w:rPr>
          <w:b/>
          <w:color w:val="0C4E54"/>
        </w:rPr>
        <w:t>1. Başvurunun kabul edilebilirlik kontrolü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3175"/>
        <w:gridCol w:w="4706"/>
      </w:tblGrid>
      <w:tr w:rsidR="00634995">
        <w:trPr>
          <w:jc w:val="center"/>
        </w:trPr>
        <w:tc>
          <w:tcPr>
            <w:tcW w:w="1361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8"/>
              </w:rPr>
              <w:t>Yönerge hükmü</w:t>
            </w:r>
          </w:p>
        </w:tc>
        <w:tc>
          <w:tcPr>
            <w:tcW w:w="3175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8"/>
              </w:rPr>
              <w:t>Kural</w:t>
            </w:r>
          </w:p>
        </w:tc>
        <w:tc>
          <w:tcPr>
            <w:tcW w:w="4706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8"/>
              </w:rPr>
              <w:t>Fon krizi b</w:t>
            </w:r>
            <w:r>
              <w:rPr>
                <w:b/>
                <w:color w:val="FFFFFF"/>
                <w:sz w:val="18"/>
              </w:rPr>
              <w:t>akımından değerlendirme</w:t>
            </w:r>
          </w:p>
        </w:tc>
      </w:tr>
      <w:tr w:rsidR="00634995">
        <w:trPr>
          <w:jc w:val="center"/>
        </w:trPr>
        <w:tc>
          <w:tcPr>
            <w:tcW w:w="136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m.8/1-d</w:t>
            </w:r>
          </w:p>
        </w:tc>
        <w:tc>
          <w:tcPr>
            <w:tcW w:w="3175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İflas, tasfiye veya faaliyetleri tamamen durdurulan üye hakkındaki uyuşmazlıklar incelenmez</w:t>
            </w:r>
          </w:p>
        </w:tc>
        <w:tc>
          <w:tcPr>
            <w:tcW w:w="4706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Kurucu PYŞ’nin faaliyet izni durdurulmuşsa başvuru reddedilir. Faal olan dağıtıcı banka / aracı kurum karşı taraf olarak seçilmelid</w:t>
            </w:r>
            <w:r>
              <w:rPr>
                <w:sz w:val="18"/>
              </w:rPr>
              <w:t>ir.</w:t>
            </w:r>
          </w:p>
        </w:tc>
      </w:tr>
      <w:tr w:rsidR="00634995">
        <w:trPr>
          <w:jc w:val="center"/>
        </w:trPr>
        <w:tc>
          <w:tcPr>
            <w:tcW w:w="136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m.8/1-e</w:t>
            </w:r>
          </w:p>
        </w:tc>
        <w:tc>
          <w:tcPr>
            <w:tcW w:w="3175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Kanunlarda suç olarak öngörülen fiiller incelenmez</w:t>
            </w:r>
          </w:p>
        </w:tc>
        <w:tc>
          <w:tcPr>
            <w:tcW w:w="4706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Piyasa dolandırıcılığı, güveni kötüye kullanma gibi iddialar başvurudan çıkarılmalı; başvuru hizmet ve özen yükümlülüğü ihlaline dayandırılmalıdır.</w:t>
            </w:r>
          </w:p>
        </w:tc>
      </w:tr>
      <w:tr w:rsidR="00634995">
        <w:trPr>
          <w:jc w:val="center"/>
        </w:trPr>
        <w:tc>
          <w:tcPr>
            <w:tcW w:w="136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m.8/1-c</w:t>
            </w:r>
          </w:p>
        </w:tc>
        <w:tc>
          <w:tcPr>
            <w:tcW w:w="3175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Yargıya veya tüketici hakem </w:t>
            </w:r>
            <w:r>
              <w:rPr>
                <w:sz w:val="18"/>
              </w:rPr>
              <w:t>heyetine intikal etmiş uyuşmazlıklar incelenmez</w:t>
            </w:r>
          </w:p>
        </w:tc>
        <w:tc>
          <w:tcPr>
            <w:tcW w:w="4706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Aynı karşı tarafa aynı konuda tazminat davası açılmışsa başvuru yapılamaz. Önce Hakem Heyeti yolu tüketilip sonra dava açılabilir.</w:t>
            </w:r>
          </w:p>
        </w:tc>
      </w:tr>
      <w:tr w:rsidR="00634995">
        <w:trPr>
          <w:jc w:val="center"/>
        </w:trPr>
        <w:tc>
          <w:tcPr>
            <w:tcW w:w="136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m.9/1</w:t>
            </w:r>
          </w:p>
        </w:tc>
        <w:tc>
          <w:tcPr>
            <w:tcW w:w="3175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Önce üyeye yazılı başvuru zorunludur</w:t>
            </w:r>
          </w:p>
        </w:tc>
        <w:tc>
          <w:tcPr>
            <w:tcW w:w="4706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Bölüm B’deki dilekçe ile başvurul</w:t>
            </w:r>
            <w:r>
              <w:rPr>
                <w:sz w:val="18"/>
              </w:rPr>
              <w:t>malı ve alındı belgesi saklanmalıdır.</w:t>
            </w:r>
          </w:p>
        </w:tc>
      </w:tr>
      <w:tr w:rsidR="00634995">
        <w:trPr>
          <w:jc w:val="center"/>
        </w:trPr>
        <w:tc>
          <w:tcPr>
            <w:tcW w:w="136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m.8/1-a, m.11</w:t>
            </w:r>
          </w:p>
        </w:tc>
        <w:tc>
          <w:tcPr>
            <w:tcW w:w="3175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Üyenin cevabından veya 30 günlük cevap süresinin bitiminden itibaren 60 gün içinde başvuru</w:t>
            </w:r>
          </w:p>
        </w:tc>
        <w:tc>
          <w:tcPr>
            <w:tcW w:w="4706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Süre kaçırılırsa başvuru reddedilir; takvim Bölüm A/3’teki tabloya göre izlenmelidir.</w:t>
            </w:r>
          </w:p>
        </w:tc>
      </w:tr>
      <w:tr w:rsidR="00634995">
        <w:trPr>
          <w:jc w:val="center"/>
        </w:trPr>
        <w:tc>
          <w:tcPr>
            <w:tcW w:w="136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m.8/2</w:t>
            </w:r>
          </w:p>
        </w:tc>
        <w:tc>
          <w:tcPr>
            <w:tcW w:w="3175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Manevi tazminat </w:t>
            </w:r>
            <w:r>
              <w:rPr>
                <w:sz w:val="18"/>
              </w:rPr>
              <w:t>incelenmez</w:t>
            </w:r>
          </w:p>
        </w:tc>
        <w:tc>
          <w:tcPr>
            <w:tcW w:w="4706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Yalnızca maddi zarar talep edilmelidir.</w:t>
            </w:r>
          </w:p>
        </w:tc>
      </w:tr>
      <w:tr w:rsidR="00634995">
        <w:trPr>
          <w:jc w:val="center"/>
        </w:trPr>
        <w:tc>
          <w:tcPr>
            <w:tcW w:w="136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m.11/2</w:t>
            </w:r>
          </w:p>
        </w:tc>
        <w:tc>
          <w:tcPr>
            <w:tcW w:w="3175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Talep somut ve açık olmalıdır</w:t>
            </w:r>
          </w:p>
        </w:tc>
        <w:tc>
          <w:tcPr>
            <w:tcW w:w="4706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“Zararımın tespiti”, “mağduriyetimin giderilmesi” gibi genel talepler incelenmez; talep edilen tutar ve hesaplama yöntemi yazılmalıdır.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keepNext/>
        <w:spacing w:after="60"/>
      </w:pPr>
      <w:r>
        <w:rPr>
          <w:b/>
          <w:color w:val="0C4E54"/>
        </w:rPr>
        <w:t>2. Hangi uyuşmazlıklar bu yol</w:t>
      </w:r>
      <w:r>
        <w:rPr>
          <w:b/>
          <w:color w:val="0C4E54"/>
        </w:rPr>
        <w:t>a uygundur?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2"/>
        <w:gridCol w:w="3969"/>
      </w:tblGrid>
      <w:tr w:rsidR="00634995">
        <w:trPr>
          <w:jc w:val="center"/>
        </w:trPr>
        <w:tc>
          <w:tcPr>
            <w:tcW w:w="5272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8"/>
              </w:rPr>
              <w:t>Uygun olabilecek uyuşmazlık</w:t>
            </w:r>
          </w:p>
        </w:tc>
        <w:tc>
          <w:tcPr>
            <w:tcW w:w="3969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8"/>
              </w:rPr>
              <w:t>Talep edilecek zarar</w:t>
            </w:r>
          </w:p>
        </w:tc>
      </w:tr>
      <w:tr w:rsidR="00634995">
        <w:trPr>
          <w:jc w:val="center"/>
        </w:trPr>
        <w:tc>
          <w:tcPr>
            <w:tcW w:w="5272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Dağıtıcı kuruluşun iade talimatını zamanında TEFAS’a iletmemesi veya hatalı işleme alması (ör. 17.09.2026 saat 13.30’dan önce verilen talimatın işleme alınmaması)</w:t>
            </w:r>
          </w:p>
        </w:tc>
        <w:tc>
          <w:tcPr>
            <w:tcW w:w="396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Talimat zamanında iletilseydi </w:t>
            </w:r>
            <w:r>
              <w:rPr>
                <w:sz w:val="18"/>
              </w:rPr>
              <w:t>elde edilecek tutar ile tasfiyede elde edilecek tutar arasındaki fark</w:t>
            </w:r>
          </w:p>
        </w:tc>
      </w:tr>
      <w:tr w:rsidR="00634995">
        <w:trPr>
          <w:jc w:val="center"/>
        </w:trPr>
        <w:tc>
          <w:tcPr>
            <w:tcW w:w="5272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Müşterinin risk profiline uygun olmayan fonun önerilmesi; uygunluk / yerindelik değerlendirmesinin gerçeğe aykırı veya şekli yapılması</w:t>
            </w:r>
          </w:p>
        </w:tc>
        <w:tc>
          <w:tcPr>
            <w:tcW w:w="396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Yatırım tutarı ile tahsil edilen / edilecek tutar </w:t>
            </w:r>
            <w:r>
              <w:rPr>
                <w:sz w:val="18"/>
              </w:rPr>
              <w:t>arasındaki fark</w:t>
            </w:r>
          </w:p>
        </w:tc>
      </w:tr>
      <w:tr w:rsidR="00634995">
        <w:trPr>
          <w:jc w:val="center"/>
        </w:trPr>
        <w:tc>
          <w:tcPr>
            <w:tcW w:w="5272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Fonun risklerinin açıklanmaması, getiri garantisi izlenimi verilmesi, eksik veya yanıltıcı bilgilendirme</w:t>
            </w:r>
          </w:p>
        </w:tc>
        <w:tc>
          <w:tcPr>
            <w:tcW w:w="396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Aynı yöntem; yazışma veya tanık delili zorunludur</w:t>
            </w:r>
          </w:p>
        </w:tc>
      </w:tr>
      <w:tr w:rsidR="00634995">
        <w:trPr>
          <w:jc w:val="center"/>
        </w:trPr>
        <w:tc>
          <w:tcPr>
            <w:tcW w:w="5272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>Müşteri talimatı olmadan fon alımı veya fon değişimi yapılması</w:t>
            </w:r>
          </w:p>
        </w:tc>
        <w:tc>
          <w:tcPr>
            <w:tcW w:w="396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Talimatsız işlem </w:t>
            </w:r>
            <w:r>
              <w:rPr>
                <w:sz w:val="18"/>
              </w:rPr>
              <w:t>tutarı ve doğan kayıp</w:t>
            </w:r>
          </w:p>
        </w:tc>
      </w:tr>
    </w:tbl>
    <w:p w:rsidR="00634995" w:rsidRDefault="005A0066">
      <w:pPr>
        <w:spacing w:after="0"/>
      </w:pPr>
      <w:r>
        <w:br w:type="page"/>
      </w:r>
    </w:p>
    <w:p w:rsidR="00634995" w:rsidRDefault="005A0066">
      <w:pPr>
        <w:keepNext/>
        <w:spacing w:after="60"/>
      </w:pPr>
      <w:r>
        <w:rPr>
          <w:b/>
          <w:color w:val="0C4E54"/>
        </w:rPr>
        <w:lastRenderedPageBreak/>
        <w:t>3. Süreç ve süre takvimi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4139"/>
        <w:gridCol w:w="1814"/>
      </w:tblGrid>
      <w:tr w:rsidR="00634995">
        <w:trPr>
          <w:jc w:val="center"/>
        </w:trPr>
        <w:tc>
          <w:tcPr>
            <w:tcW w:w="3288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Aşama</w:t>
            </w:r>
          </w:p>
        </w:tc>
        <w:tc>
          <w:tcPr>
            <w:tcW w:w="4139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Süre</w:t>
            </w:r>
          </w:p>
        </w:tc>
        <w:tc>
          <w:tcPr>
            <w:tcW w:w="1814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Dayanak</w:t>
            </w:r>
          </w:p>
        </w:tc>
      </w:tr>
      <w:tr w:rsidR="00634995">
        <w:trPr>
          <w:jc w:val="center"/>
        </w:trPr>
        <w:tc>
          <w:tcPr>
            <w:tcW w:w="328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Üyeye (dağıtıcı kuruluşa) yazılı başvuru</w:t>
            </w:r>
          </w:p>
        </w:tc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İşlemden itibaren en geç 5 yıl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m.9/1</w:t>
            </w:r>
          </w:p>
        </w:tc>
      </w:tr>
      <w:tr w:rsidR="00634995">
        <w:trPr>
          <w:jc w:val="center"/>
        </w:trPr>
        <w:tc>
          <w:tcPr>
            <w:tcW w:w="3288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Üyenin cevabı</w:t>
            </w:r>
          </w:p>
        </w:tc>
        <w:tc>
          <w:tcPr>
            <w:tcW w:w="413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Başvurudan itibaren 30 gün</w:t>
            </w:r>
          </w:p>
        </w:tc>
        <w:tc>
          <w:tcPr>
            <w:tcW w:w="1814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m.10/1</w:t>
            </w:r>
          </w:p>
        </w:tc>
      </w:tr>
      <w:tr w:rsidR="00634995">
        <w:trPr>
          <w:jc w:val="center"/>
        </w:trPr>
        <w:tc>
          <w:tcPr>
            <w:tcW w:w="328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Hakem Heyetine başvuru</w:t>
            </w:r>
          </w:p>
        </w:tc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Cevabın tebliğinden</w:t>
            </w:r>
            <w:r>
              <w:rPr>
                <w:sz w:val="19"/>
              </w:rPr>
              <w:t xml:space="preserve"> veya 30 günlük sürenin bitiminden itibaren 60 gün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m.8/1-a, m.11/1</w:t>
            </w:r>
          </w:p>
        </w:tc>
      </w:tr>
      <w:tr w:rsidR="00634995">
        <w:trPr>
          <w:jc w:val="center"/>
        </w:trPr>
        <w:tc>
          <w:tcPr>
            <w:tcW w:w="3288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Üyenin savunma ve belge sunması</w:t>
            </w:r>
          </w:p>
        </w:tc>
        <w:tc>
          <w:tcPr>
            <w:tcW w:w="413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Sekretarya yazısının tebliğinden itibaren 30 gün</w:t>
            </w:r>
          </w:p>
        </w:tc>
        <w:tc>
          <w:tcPr>
            <w:tcW w:w="1814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m.13/2</w:t>
            </w:r>
          </w:p>
        </w:tc>
      </w:tr>
      <w:tr w:rsidR="00634995">
        <w:trPr>
          <w:jc w:val="center"/>
        </w:trPr>
        <w:tc>
          <w:tcPr>
            <w:tcW w:w="328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Heyet kararı</w:t>
            </w:r>
          </w:p>
        </w:tc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Başvurudan itibaren 90 gün (bir defa 30 gün uzatılabilir)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m.14</w:t>
            </w:r>
            <w:r>
              <w:rPr>
                <w:sz w:val="19"/>
              </w:rPr>
              <w:t>/2</w:t>
            </w:r>
          </w:p>
        </w:tc>
      </w:tr>
      <w:tr w:rsidR="00634995">
        <w:trPr>
          <w:jc w:val="center"/>
        </w:trPr>
        <w:tc>
          <w:tcPr>
            <w:tcW w:w="3288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SPK nezdinde itiraz</w:t>
            </w:r>
          </w:p>
        </w:tc>
        <w:tc>
          <w:tcPr>
            <w:tcW w:w="413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Kararın tebliğinden itibaren 10 iş günü (itiraz Birliğe verilir)</w:t>
            </w:r>
          </w:p>
        </w:tc>
        <w:tc>
          <w:tcPr>
            <w:tcW w:w="1814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m.14/4</w:t>
            </w:r>
          </w:p>
        </w:tc>
      </w:tr>
      <w:tr w:rsidR="00634995">
        <w:trPr>
          <w:jc w:val="center"/>
        </w:trPr>
        <w:tc>
          <w:tcPr>
            <w:tcW w:w="328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Kararın uygulanması</w:t>
            </w:r>
          </w:p>
        </w:tc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Kesinleşen kararın tebliğinden itibaren 10 iş günü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Yönerge m.14/5</w:t>
            </w:r>
          </w:p>
        </w:tc>
      </w:tr>
    </w:tbl>
    <w:p w:rsidR="00634995" w:rsidRDefault="00634995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34995">
        <w:tc>
          <w:tcPr>
            <w:tcW w:w="9242" w:type="dxa"/>
            <w:shd w:val="clear" w:color="auto" w:fill="EEF3F3"/>
          </w:tcPr>
          <w:p w:rsidR="00634995" w:rsidRDefault="005A0066">
            <w:pPr>
              <w:spacing w:after="40"/>
            </w:pPr>
            <w:r>
              <w:rPr>
                <w:b/>
                <w:color w:val="0C4E54"/>
                <w:sz w:val="19"/>
              </w:rPr>
              <w:t xml:space="preserve">Bağlayıcılık ve parasal sınır: </w:t>
            </w:r>
            <w:r>
              <w:rPr>
                <w:sz w:val="19"/>
              </w:rPr>
              <w:t xml:space="preserve">Başvurucu lehine kesinleşen </w:t>
            </w:r>
            <w:r>
              <w:rPr>
                <w:sz w:val="19"/>
              </w:rPr>
              <w:t>kararların üye tarafından uygulanması, Tüketici Hakem Heyetleri Yönetmeliği m.6’daki parasal sınıra kadar olan uyuşmazlıklarda zorunludur; 2026 yılı için bu sınır 186.000 TL’dir. Bu tutarı aşan taleplerde karar üye bakımından fiilen tavsiye niteliğinde kal</w:t>
            </w:r>
            <w:r>
              <w:rPr>
                <w:sz w:val="19"/>
              </w:rPr>
              <w:t>abilir; her durumda yargı yolu açıktır.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BÖLÜM B — ÖN ŞART: BİRLİK ÜYESİNE UYUŞMAZLIK BAŞVURUSU</w:t>
      </w:r>
    </w:p>
    <w:p w:rsidR="00634995" w:rsidRDefault="005A0066">
      <w:pPr>
        <w:spacing w:after="0"/>
        <w:jc w:val="center"/>
      </w:pPr>
      <w:r>
        <w:rPr>
          <w:b/>
          <w:color w:val="0C4E54"/>
        </w:rPr>
        <w:t>[●] BANKASI A.Ş. / [●] YATIRIM MENKUL DEĞERLER A.Ş.</w:t>
      </w:r>
    </w:p>
    <w:p w:rsidR="00634995" w:rsidRDefault="005A0066">
      <w:pPr>
        <w:spacing w:after="40"/>
        <w:jc w:val="center"/>
      </w:pPr>
      <w:r>
        <w:rPr>
          <w:b/>
        </w:rPr>
        <w:t>GENEL MÜDÜRLÜĞÜ’NE — Teftiş Kurulu / İç Kontrol Birimi dikkatine</w:t>
      </w:r>
    </w:p>
    <w:p w:rsidR="00634995" w:rsidRDefault="005A0066">
      <w:pPr>
        <w:spacing w:after="160"/>
        <w:jc w:val="center"/>
      </w:pPr>
      <w:r>
        <w:rPr>
          <w:color w:val="5A5957"/>
          <w:sz w:val="19"/>
        </w:rPr>
        <w:t>[Genel müdürlük adresi]  |  KEP: [●]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7370"/>
      </w:tblGrid>
      <w:tr w:rsidR="00634995">
        <w:trPr>
          <w:jc w:val="center"/>
        </w:trPr>
        <w:tc>
          <w:tcPr>
            <w:tcW w:w="1871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BAŞVURAN</w:t>
            </w:r>
          </w:p>
        </w:tc>
        <w:tc>
          <w:tcPr>
            <w:tcW w:w="7370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Adı Soyadı: [●]  |  T.C. Kimlik No: [●]  |  Müşteri / Hesap No: [●]</w:t>
            </w:r>
            <w:r>
              <w:rPr>
                <w:sz w:val="20"/>
              </w:rPr>
              <w:br/>
              <w:t>Adres: [●]</w:t>
            </w:r>
          </w:p>
        </w:tc>
      </w:tr>
      <w:tr w:rsidR="00634995">
        <w:trPr>
          <w:jc w:val="center"/>
        </w:trPr>
        <w:tc>
          <w:tcPr>
            <w:tcW w:w="1871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VEKİLİ</w:t>
            </w:r>
          </w:p>
        </w:tc>
        <w:tc>
          <w:tcPr>
            <w:tcW w:w="7370" w:type="dxa"/>
          </w:tcPr>
          <w:p w:rsidR="00634995" w:rsidRDefault="005A0066" w:rsidP="003E43F0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Av. </w:t>
            </w:r>
            <w:r w:rsidR="003E43F0">
              <w:rPr>
                <w:sz w:val="20"/>
              </w:rPr>
              <w:t>………………….</w:t>
            </w:r>
            <w:r>
              <w:rPr>
                <w:sz w:val="20"/>
              </w:rPr>
              <w:t xml:space="preserve"> — [●] Barosu, Sicil No: [●]  |  Adres / KEP: [●]</w:t>
            </w:r>
          </w:p>
        </w:tc>
      </w:tr>
      <w:tr w:rsidR="00634995">
        <w:trPr>
          <w:jc w:val="center"/>
        </w:trPr>
        <w:tc>
          <w:tcPr>
            <w:tcW w:w="1871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KONU</w:t>
            </w:r>
          </w:p>
        </w:tc>
        <w:tc>
          <w:tcPr>
            <w:tcW w:w="7370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TSPB Müşteri Uyuşmazlıkları Hakem Heyeti Yönergesi m.9 uyarınca uyuşmazlık başvurusu ve </w:t>
            </w:r>
            <w:r>
              <w:rPr>
                <w:sz w:val="20"/>
              </w:rPr>
              <w:t>[●] TL zararın tazmini talebi</w:t>
            </w:r>
          </w:p>
        </w:tc>
      </w:tr>
      <w:tr w:rsidR="00634995">
        <w:trPr>
          <w:jc w:val="center"/>
        </w:trPr>
        <w:tc>
          <w:tcPr>
            <w:tcW w:w="1871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EKLER</w:t>
            </w:r>
          </w:p>
        </w:tc>
        <w:tc>
          <w:tcPr>
            <w:tcW w:w="7370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Vekâletname, hesap ekstresi ve dekontlar, iade talimatı kaydı, zarar hesaplama tablosu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Müvekkil, kurumunuz nezdindeki [●] numaralı hesabı üzerinden ve kurumunuzun dağıtıcı sıfatıyla aracılığı ile [fon adı / TEFAS k</w:t>
      </w:r>
      <w:r>
        <w:t>odu] fonuna [tarih] ile [tarih] arasında toplam [●] TL yatırım yapmıştır.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[Uyuşmazlığa konu somut olay: ör. Müvekkilin 17.09.2026 günü saat [●] itibarıyla verdiği [●] adet paya ilişkin iade talimatı TEFAS’a iletilmemiş / fon, müvekkilin [●] olan risk pr</w:t>
      </w:r>
      <w:r>
        <w:t>ofiline aykırı olarak müşteri temsilcisi [●] tarafından “[●]” şeklinde önerilmiştir.]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Bu durum, kurumunuzun müşteri talimatlarını gecikmeksizin ve doğru şekilde yerine getirme, uygunluk ve yerindelik değerlendirmesini gerçeğe uygun yapma ve müşteriyi do</w:t>
      </w:r>
      <w:r>
        <w:t>ğru ve eksiksiz bilgilendirme yükümlülüklerine aykırıdır.</w:t>
      </w:r>
    </w:p>
    <w:p w:rsidR="00634995" w:rsidRDefault="005A0066">
      <w:pPr>
        <w:spacing w:after="40"/>
      </w:pPr>
      <w:r>
        <w:t>Uyuşmazlığın incelenmesini, [●] TL zararın ödenmesini, Yönerge m.10 uyarınca 30 gün içinde yazılı cevap verilmesini ve ilgili emir, ses ve uygunluk testi kayıtlarının korunmasını talep ederiz.</w:t>
      </w:r>
    </w:p>
    <w:p w:rsidR="00634995" w:rsidRDefault="005A0066">
      <w:pPr>
        <w:keepNext/>
        <w:spacing w:before="80" w:after="0"/>
        <w:jc w:val="right"/>
      </w:pPr>
      <w:r>
        <w:t>[Tari</w:t>
      </w:r>
      <w:r>
        <w:t>h]</w:t>
      </w:r>
    </w:p>
    <w:p w:rsidR="00634995" w:rsidRDefault="005A0066">
      <w:pPr>
        <w:keepNext/>
        <w:spacing w:after="0"/>
        <w:jc w:val="right"/>
      </w:pPr>
      <w:r>
        <w:t>Başvuran Vekili</w:t>
      </w:r>
    </w:p>
    <w:p w:rsidR="00634995" w:rsidRDefault="005A0066">
      <w:pPr>
        <w:keepNext/>
        <w:spacing w:after="0"/>
        <w:jc w:val="right"/>
      </w:pPr>
      <w:r>
        <w:rPr>
          <w:b/>
        </w:rPr>
        <w:t xml:space="preserve">Av. </w:t>
      </w:r>
      <w:r w:rsidR="003E43F0">
        <w:rPr>
          <w:b/>
        </w:rPr>
        <w:t>…………………</w:t>
      </w:r>
    </w:p>
    <w:p w:rsidR="00634995" w:rsidRDefault="005A0066">
      <w:pPr>
        <w:jc w:val="right"/>
      </w:pPr>
      <w:r>
        <w:rPr>
          <w:color w:val="5A5957"/>
        </w:rPr>
        <w:t>[İmza]</w:t>
      </w:r>
      <w:r>
        <w:br w:type="page"/>
      </w: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lastRenderedPageBreak/>
        <w:t>BÖLÜM C — HAKEM HEYETİ BAŞVURU DİLEKÇESİ</w:t>
      </w:r>
    </w:p>
    <w:p w:rsidR="00634995" w:rsidRDefault="005A0066">
      <w:pPr>
        <w:spacing w:after="0"/>
        <w:jc w:val="center"/>
      </w:pPr>
      <w:r>
        <w:rPr>
          <w:b/>
          <w:color w:val="0C4E54"/>
          <w:sz w:val="25"/>
        </w:rPr>
        <w:t>TÜRKİYE SERMAYE PİYASALARI BİRLİĞİ</w:t>
      </w:r>
    </w:p>
    <w:p w:rsidR="00634995" w:rsidRDefault="005A0066">
      <w:pPr>
        <w:spacing w:after="0"/>
        <w:jc w:val="center"/>
      </w:pPr>
      <w:r>
        <w:rPr>
          <w:b/>
          <w:color w:val="0C4E54"/>
          <w:sz w:val="25"/>
        </w:rPr>
        <w:t>MÜŞTERİ UYUŞMAZLIKLARI HAKEM HEYETİ BAŞKANLIĞI’NA</w:t>
      </w:r>
    </w:p>
    <w:p w:rsidR="00634995" w:rsidRDefault="005A0066">
      <w:pPr>
        <w:spacing w:after="40"/>
        <w:jc w:val="center"/>
      </w:pPr>
      <w:r>
        <w:rPr>
          <w:color w:val="5A5957"/>
          <w:sz w:val="19"/>
        </w:rPr>
        <w:t>Büyükdere Caddesi No:173, 1. Levent Plaza A Blok Kat:4, Levent / İSTANBUL</w:t>
      </w:r>
    </w:p>
    <w:p w:rsidR="00634995" w:rsidRDefault="005A0066">
      <w:pPr>
        <w:spacing w:after="160"/>
        <w:jc w:val="center"/>
      </w:pPr>
      <w:r>
        <w:rPr>
          <w:sz w:val="19"/>
        </w:rPr>
        <w:t xml:space="preserve">(Yönerge </w:t>
      </w:r>
      <w:r>
        <w:rPr>
          <w:sz w:val="19"/>
        </w:rPr>
        <w:t>ekindeki başvuru formu ile birlikte sunulmuştur)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087"/>
      </w:tblGrid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BAŞVURAN</w:t>
            </w:r>
          </w:p>
        </w:tc>
        <w:tc>
          <w:tcPr>
            <w:tcW w:w="708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Adı Soyadı: [●]</w:t>
            </w:r>
            <w:r>
              <w:rPr>
                <w:sz w:val="20"/>
              </w:rPr>
              <w:br/>
              <w:t>T.C. Kimlik No: [●]</w:t>
            </w:r>
            <w:r>
              <w:rPr>
                <w:sz w:val="20"/>
              </w:rPr>
              <w:br/>
              <w:t>Adres: [●]  |  Telefon / E-posta: [●]</w:t>
            </w:r>
          </w:p>
        </w:tc>
      </w:tr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VEKİLİ</w:t>
            </w:r>
          </w:p>
        </w:tc>
        <w:tc>
          <w:tcPr>
            <w:tcW w:w="7087" w:type="dxa"/>
          </w:tcPr>
          <w:p w:rsidR="00634995" w:rsidRDefault="005A0066" w:rsidP="003E43F0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Av. </w:t>
            </w:r>
            <w:r w:rsidR="003E43F0">
              <w:rPr>
                <w:sz w:val="20"/>
              </w:rPr>
              <w:t>………………..</w:t>
            </w:r>
            <w:r>
              <w:rPr>
                <w:sz w:val="20"/>
              </w:rPr>
              <w:t xml:space="preserve"> — [●] Barosu, Sicil No: [●]</w:t>
            </w:r>
            <w:r>
              <w:rPr>
                <w:sz w:val="20"/>
              </w:rPr>
              <w:br/>
              <w:t>Adres: [●]  |  KEP: [●]</w:t>
            </w:r>
          </w:p>
        </w:tc>
      </w:tr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KARŞI TARAF</w:t>
            </w:r>
            <w:r>
              <w:rPr>
                <w:b/>
                <w:color w:val="0C4E54"/>
                <w:sz w:val="20"/>
              </w:rPr>
              <w:br/>
              <w:t>(Birlik üyesi)</w:t>
            </w:r>
          </w:p>
        </w:tc>
        <w:tc>
          <w:tcPr>
            <w:tcW w:w="708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[●] Bankası A.Ş. / [</w:t>
            </w:r>
            <w:r>
              <w:rPr>
                <w:sz w:val="20"/>
              </w:rPr>
              <w:t>●] Yatırım Menkul Değerler A.Ş. (dağıtıcı kuruluş)</w:t>
            </w:r>
            <w:r>
              <w:rPr>
                <w:sz w:val="20"/>
              </w:rPr>
              <w:br/>
              <w:t>Genel Müdürlük adresi: [●]</w:t>
            </w:r>
          </w:p>
        </w:tc>
      </w:tr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ÜYEYE BAŞVURU</w:t>
            </w:r>
          </w:p>
        </w:tc>
        <w:tc>
          <w:tcPr>
            <w:tcW w:w="708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Başvuru tarihi: [●]  |  Alındı belgesi: Ek-2</w:t>
            </w:r>
            <w:r>
              <w:rPr>
                <w:sz w:val="20"/>
              </w:rPr>
              <w:br/>
              <w:t>Üyenin cevap tarihi: [●] (Ek-3) / Cevap verilmemiştir; 30 günlük süre [●] tarihinde dolmuştur</w:t>
            </w:r>
          </w:p>
        </w:tc>
      </w:tr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TALEP TUTARI</w:t>
            </w:r>
          </w:p>
        </w:tc>
        <w:tc>
          <w:tcPr>
            <w:tcW w:w="708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>[●] TL (ma</w:t>
            </w:r>
            <w:r>
              <w:rPr>
                <w:sz w:val="20"/>
              </w:rPr>
              <w:t>ddi zarar) ve talep tarihinden itibaren işleyecek faiz</w:t>
            </w:r>
          </w:p>
        </w:tc>
      </w:tr>
      <w:tr w:rsidR="00634995">
        <w:trPr>
          <w:jc w:val="center"/>
        </w:trPr>
        <w:tc>
          <w:tcPr>
            <w:tcW w:w="2154" w:type="dxa"/>
            <w:shd w:val="clear" w:color="auto" w:fill="EEF3F3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KONU</w:t>
            </w:r>
          </w:p>
        </w:tc>
        <w:tc>
          <w:tcPr>
            <w:tcW w:w="708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Karşı tarafın dağıtıcı kuruluş sıfatıyla müvekkile sunduğu fon dağıtım hizmetinde [iade talimatını zamanında iletmeme / uygunluk değerlendirmesine aykırı satış / eksik bilgilendirme] nedeniyle </w:t>
            </w:r>
            <w:r>
              <w:rPr>
                <w:sz w:val="20"/>
              </w:rPr>
              <w:t>doğan [●] TL maddi zararın tazmini talebidir.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I. OLAYLAR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Müvekkil, karşı taraf nezdindeki [●] numaralı hesabı üzerinden ve karşı tarafın aracılığıyla [fon adı / TEFAS kodu] fonuna aşağıdaki işlemleri yapmıştır: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1417"/>
        <w:gridCol w:w="2041"/>
        <w:gridCol w:w="1814"/>
      </w:tblGrid>
      <w:tr w:rsidR="00634995">
        <w:trPr>
          <w:jc w:val="center"/>
        </w:trPr>
        <w:tc>
          <w:tcPr>
            <w:tcW w:w="1701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Tarih / saat</w:t>
            </w:r>
          </w:p>
        </w:tc>
        <w:tc>
          <w:tcPr>
            <w:tcW w:w="2268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İşlem</w:t>
            </w:r>
          </w:p>
        </w:tc>
        <w:tc>
          <w:tcPr>
            <w:tcW w:w="1417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Pay adedi</w:t>
            </w:r>
          </w:p>
        </w:tc>
        <w:tc>
          <w:tcPr>
            <w:tcW w:w="2041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 xml:space="preserve">Birim pay </w:t>
            </w:r>
            <w:r>
              <w:rPr>
                <w:b/>
                <w:color w:val="FFFFFF"/>
                <w:sz w:val="19"/>
              </w:rPr>
              <w:t>değeri (TL)</w:t>
            </w:r>
          </w:p>
        </w:tc>
        <w:tc>
          <w:tcPr>
            <w:tcW w:w="1814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Tutar (TL)</w:t>
            </w:r>
          </w:p>
        </w:tc>
      </w:tr>
      <w:tr w:rsidR="00634995">
        <w:trPr>
          <w:jc w:val="center"/>
        </w:trPr>
        <w:tc>
          <w:tcPr>
            <w:tcW w:w="170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26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Alım</w:t>
            </w:r>
          </w:p>
        </w:tc>
        <w:tc>
          <w:tcPr>
            <w:tcW w:w="141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634995">
        <w:trPr>
          <w:jc w:val="center"/>
        </w:trPr>
        <w:tc>
          <w:tcPr>
            <w:tcW w:w="170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268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Alım</w:t>
            </w:r>
          </w:p>
        </w:tc>
        <w:tc>
          <w:tcPr>
            <w:tcW w:w="1417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14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634995">
        <w:trPr>
          <w:jc w:val="center"/>
        </w:trPr>
        <w:tc>
          <w:tcPr>
            <w:tcW w:w="170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268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İade talimatı</w:t>
            </w:r>
          </w:p>
        </w:tc>
        <w:tc>
          <w:tcPr>
            <w:tcW w:w="1417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204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1814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634995">
        <w:trPr>
          <w:jc w:val="center"/>
        </w:trPr>
        <w:tc>
          <w:tcPr>
            <w:tcW w:w="1701" w:type="dxa"/>
            <w:shd w:val="clear" w:color="auto" w:fill="F4F7F7"/>
          </w:tcPr>
          <w:p w:rsidR="00634995" w:rsidRDefault="00634995">
            <w:pPr>
              <w:spacing w:after="20" w:line="252" w:lineRule="auto"/>
              <w:jc w:val="left"/>
            </w:pPr>
          </w:p>
        </w:tc>
        <w:tc>
          <w:tcPr>
            <w:tcW w:w="2268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TOPLAM YATIRIM</w:t>
            </w:r>
          </w:p>
        </w:tc>
        <w:tc>
          <w:tcPr>
            <w:tcW w:w="1417" w:type="dxa"/>
            <w:shd w:val="clear" w:color="auto" w:fill="F4F7F7"/>
          </w:tcPr>
          <w:p w:rsidR="00634995" w:rsidRDefault="00634995">
            <w:pPr>
              <w:spacing w:after="20" w:line="252" w:lineRule="auto"/>
              <w:jc w:val="left"/>
            </w:pPr>
          </w:p>
        </w:tc>
        <w:tc>
          <w:tcPr>
            <w:tcW w:w="2041" w:type="dxa"/>
            <w:shd w:val="clear" w:color="auto" w:fill="F4F7F7"/>
          </w:tcPr>
          <w:p w:rsidR="00634995" w:rsidRDefault="00634995">
            <w:pPr>
              <w:spacing w:after="20" w:line="252" w:lineRule="auto"/>
              <w:jc w:val="left"/>
            </w:pPr>
          </w:p>
        </w:tc>
        <w:tc>
          <w:tcPr>
            <w:tcW w:w="1814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 xml:space="preserve">[Somut olay: ör. Müvekkil 17.09.2026 günü saat [●]’da, yani iade talimatları için belirlenen saat 13.30’dan önce, karşı tarafın </w:t>
      </w:r>
      <w:r>
        <w:t>mobil uygulaması üzerinden [●] adet pay için iade talimatı vermiştir. Talimat karşı tarafça TEFAS’a iletilmemiş / iptal edilmiş ve müvekkilin payları tasfiye esaslarına tabi kalmıştır.]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[Alternatif somut olay: Müvekkilin karşı tarafça belirlenen risk pr</w:t>
      </w:r>
      <w:r>
        <w:t>ofili “[●]” olmasına karşın, yüksek riskli ve portföyü yoğunlaşmış olan fon, müşteri temsilcisi [●] tarafından [tarih] tarihinde “[kullanılan ifade]” denilerek önerilmiş; uygunluk değerlendirmesi [●] şekilde yapılmıştır.]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4.</w:t>
      </w:r>
      <w:r>
        <w:rPr>
          <w:b/>
        </w:rPr>
        <w:tab/>
      </w:r>
      <w:r>
        <w:t xml:space="preserve">Müvekkil, Yönerge m.9 uyarınca </w:t>
      </w:r>
      <w:r>
        <w:t>[tarih] tarihinde karşı tarafa yazılı olarak başvurmuş; karşı taraf [tarih] tarihli cevabıyla talebi reddetmiş / süresi içinde cevap vermemiştir. Hakem Heyetine başvuru, Yönerge m.11/1’deki 60 günlük süre içinde yapılmaktadır.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5.</w:t>
      </w:r>
      <w:r>
        <w:rPr>
          <w:b/>
        </w:rPr>
        <w:tab/>
      </w:r>
      <w:r>
        <w:t>Uyuşmazlık konusu hakkında</w:t>
      </w:r>
      <w:r>
        <w:t xml:space="preserve"> herhangi bir yargı merciine veya tüketici hakem heyetine başvurulmamıştır; taraflar arasında mutabakat veya ibra bulunmamaktadır.</w:t>
      </w: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lastRenderedPageBreak/>
        <w:t>II. HUKUKİ DEĞERLENDİRME</w:t>
      </w:r>
    </w:p>
    <w:p w:rsidR="00634995" w:rsidRDefault="005A0066">
      <w:pPr>
        <w:keepNext/>
        <w:spacing w:after="60"/>
      </w:pPr>
      <w:r>
        <w:rPr>
          <w:b/>
          <w:color w:val="0C4E54"/>
        </w:rPr>
        <w:t>1. Uyuşmazlığın Hakem Heyetinin görev alanında olması</w:t>
      </w:r>
    </w:p>
    <w:p w:rsidR="00634995" w:rsidRDefault="005A0066">
      <w:r>
        <w:t xml:space="preserve">Karşı taraf faal bir Birlik üyesidir. </w:t>
      </w:r>
      <w:r>
        <w:t>Uyuşmazlık, borsa işlemi niteliği taşımayan fon katılma payı dağıtım faaliyetinden doğmakta; yalnızca maddi zarar talebini içermekte ve karşı tarafın sözleşmesel hizmet ve özen yükümlülüklerinin ihlaline dayanmaktadır. Yönerge m.8’deki kapsam dışı hâllerde</w:t>
      </w:r>
      <w:r>
        <w:t>n hiçbiri mevcut değildir.</w:t>
      </w:r>
    </w:p>
    <w:p w:rsidR="00634995" w:rsidRDefault="005A0066">
      <w:pPr>
        <w:keepNext/>
        <w:spacing w:after="60"/>
      </w:pPr>
      <w:r>
        <w:rPr>
          <w:b/>
          <w:color w:val="0C4E54"/>
        </w:rPr>
        <w:t>2. Karşı tarafın yükümlülük ihlali</w:t>
      </w:r>
    </w:p>
    <w:p w:rsidR="00634995" w:rsidRDefault="005A0066">
      <w:r>
        <w:t>Dağıtıcı kuruluş; müşteri talimatlarını gecikmeksizin ve doğru şekilde iletmek, müşterinin bilgi, deneyim ve risk profiline uygun ürün önermek, uygunluk değerlendirmesini gerçeğe uygun yapmak ve</w:t>
      </w:r>
      <w:r>
        <w:t xml:space="preserve"> ürünün risklerini açık ve anlaşılır şekilde bildirmekle yükümlüdür. Bu yükümlülükler, taraflar arasındaki çerçeve sözleşmeden, III-37.1 sayılı Yatırım Hizmetleri ve Faaliyetleri ile Yan Hizmetlere İlişkin Esaslar Tebliği’nden ve TBK m.502 vd. vekâlet hükü</w:t>
      </w:r>
      <w:r>
        <w:t>mlerinden (özellikle m.506 özen borcu) doğmaktadır. Somut olayda [ihlal edilen yükümlülük] yerine getirilmemiştir.</w:t>
      </w:r>
    </w:p>
    <w:p w:rsidR="00634995" w:rsidRDefault="005A0066">
      <w:pPr>
        <w:keepNext/>
        <w:spacing w:after="60"/>
      </w:pPr>
      <w:r>
        <w:rPr>
          <w:b/>
          <w:color w:val="0C4E54"/>
        </w:rPr>
        <w:t>3. Zarar ve hesaplama yöntemi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1531"/>
        <w:gridCol w:w="3572"/>
      </w:tblGrid>
      <w:tr w:rsidR="00634995">
        <w:trPr>
          <w:jc w:val="center"/>
        </w:trPr>
        <w:tc>
          <w:tcPr>
            <w:tcW w:w="4139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Kalem</w:t>
            </w:r>
          </w:p>
        </w:tc>
        <w:tc>
          <w:tcPr>
            <w:tcW w:w="1531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Tutar (TL)</w:t>
            </w:r>
          </w:p>
        </w:tc>
        <w:tc>
          <w:tcPr>
            <w:tcW w:w="3572" w:type="dxa"/>
            <w:shd w:val="clear" w:color="auto" w:fill="0C4E54"/>
          </w:tcPr>
          <w:p w:rsidR="00634995" w:rsidRDefault="005A0066">
            <w:r>
              <w:rPr>
                <w:b/>
                <w:color w:val="FFFFFF"/>
                <w:sz w:val="19"/>
              </w:rPr>
              <w:t>Açıklama</w:t>
            </w:r>
          </w:p>
        </w:tc>
      </w:tr>
      <w:tr w:rsidR="00634995">
        <w:trPr>
          <w:jc w:val="center"/>
        </w:trPr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A. Talimat zamanında işlenseydi elde edilecek tutar / yatırım tutarı</w:t>
            </w:r>
          </w:p>
        </w:tc>
        <w:tc>
          <w:tcPr>
            <w:tcW w:w="153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3572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 tarihli</w:t>
            </w:r>
            <w:r>
              <w:rPr>
                <w:sz w:val="19"/>
              </w:rPr>
              <w:t xml:space="preserve"> birim pay değeri × pay adedi</w:t>
            </w:r>
          </w:p>
        </w:tc>
      </w:tr>
      <w:tr w:rsidR="00634995">
        <w:trPr>
          <w:jc w:val="center"/>
        </w:trPr>
        <w:tc>
          <w:tcPr>
            <w:tcW w:w="4139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B. Tasfiyede elde edilen / edilecek tutar</w:t>
            </w:r>
          </w:p>
        </w:tc>
        <w:tc>
          <w:tcPr>
            <w:tcW w:w="1531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3572" w:type="dxa"/>
            <w:shd w:val="clear" w:color="auto" w:fill="F4F7F7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Tasfiye yetkilisi bankanın bildirimine göre; kesinleşmemişse güncel tahmini değer</w:t>
            </w:r>
          </w:p>
        </w:tc>
      </w:tr>
      <w:tr w:rsidR="00634995">
        <w:trPr>
          <w:jc w:val="center"/>
        </w:trPr>
        <w:tc>
          <w:tcPr>
            <w:tcW w:w="4139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TALEP EDİLEN ZARAR (A − B)</w:t>
            </w:r>
          </w:p>
        </w:tc>
        <w:tc>
          <w:tcPr>
            <w:tcW w:w="1531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  <w:tc>
          <w:tcPr>
            <w:tcW w:w="3572" w:type="dxa"/>
          </w:tcPr>
          <w:p w:rsidR="00634995" w:rsidRDefault="005A0066">
            <w:pPr>
              <w:spacing w:after="20" w:line="252" w:lineRule="auto"/>
              <w:jc w:val="left"/>
            </w:pPr>
            <w:r>
              <w:rPr>
                <w:sz w:val="19"/>
              </w:rPr>
              <w:t>Faiziyle birlikte</w:t>
            </w:r>
          </w:p>
        </w:tc>
      </w:tr>
    </w:tbl>
    <w:p w:rsidR="00634995" w:rsidRDefault="00634995">
      <w:pPr>
        <w:spacing w:after="0"/>
      </w:pPr>
    </w:p>
    <w:p w:rsidR="00634995" w:rsidRDefault="005A0066">
      <w:pPr>
        <w:spacing w:before="40"/>
      </w:pPr>
      <w:r>
        <w:rPr>
          <w:color w:val="5A5957"/>
          <w:sz w:val="19"/>
        </w:rPr>
        <w:t xml:space="preserve">Tasfiye sonucu kesinleşmediğinden B kalemi </w:t>
      </w:r>
      <w:r>
        <w:rPr>
          <w:color w:val="5A5957"/>
          <w:sz w:val="19"/>
        </w:rPr>
        <w:t>geçicidir; tasfiye tamamlandığında hesap güncellenecektir.</w:t>
      </w: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III. DELİLLER</w:t>
      </w:r>
    </w:p>
    <w:p w:rsidR="00634995" w:rsidRDefault="005A0066">
      <w:r>
        <w:t xml:space="preserve">Ek-1 ile Ek-8 arasındaki belgeler; iade talimatının saatini gösteren sistem kayıtları; müşteri temsilcisiyle ses kayıtları ve uygunluk testi kayıtları (karşı taraftan istenmesi talep </w:t>
      </w:r>
      <w:r>
        <w:t>edilir); fon izahnamesi ve yatırımcı bilgi formu; MKK kayıtları.</w:t>
      </w:r>
    </w:p>
    <w:p w:rsidR="00634995" w:rsidRDefault="005A0066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IV. SONUÇ VE İSTEM</w:t>
      </w:r>
    </w:p>
    <w:p w:rsidR="00634995" w:rsidRDefault="005A0066">
      <w:pPr>
        <w:keepNext/>
      </w:pPr>
      <w:r>
        <w:t>Yukarıda açıklanan nedenlerle;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Başvurunun Yönerge m.8 ve m.11 hükümlerine uygun bulunarak Hakem Heyetine iletilmesine,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 xml:space="preserve">Karşı taraftan müvekkile ait emir, ses, </w:t>
      </w:r>
      <w:r>
        <w:t>uygunluk testi ve yazışma kayıtlarının Yönerge m.13 uyarınca istenmesine ve gerekirse tarafların dinlenmesine,</w:t>
      </w:r>
    </w:p>
    <w:p w:rsidR="00634995" w:rsidRDefault="005A0066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Müvekkilin uğradığı [●] TL maddi zararın, başvuru tarihinden itibaren işleyecek faiziyle birlikte karşı tarafça müvekkile ödenmesine</w:t>
      </w:r>
    </w:p>
    <w:p w:rsidR="00634995" w:rsidRDefault="005A0066">
      <w:pPr>
        <w:spacing w:after="80"/>
      </w:pPr>
      <w:r>
        <w:t>karar ver</w:t>
      </w:r>
      <w:r>
        <w:t>ilmesini saygılarımızla arz ve talep ederiz.</w:t>
      </w:r>
    </w:p>
    <w:p w:rsidR="00634995" w:rsidRDefault="005A0066">
      <w:pPr>
        <w:keepNext/>
        <w:spacing w:before="80" w:after="0"/>
        <w:jc w:val="right"/>
      </w:pPr>
      <w:r>
        <w:t>[Tarih]</w:t>
      </w:r>
    </w:p>
    <w:p w:rsidR="00634995" w:rsidRDefault="005A0066">
      <w:pPr>
        <w:keepNext/>
        <w:spacing w:after="0"/>
        <w:jc w:val="right"/>
      </w:pPr>
      <w:r>
        <w:t>Başvuran Vekili</w:t>
      </w:r>
    </w:p>
    <w:p w:rsidR="00634995" w:rsidRDefault="005A0066">
      <w:pPr>
        <w:keepNext/>
        <w:spacing w:after="0"/>
        <w:jc w:val="right"/>
      </w:pPr>
      <w:r>
        <w:rPr>
          <w:b/>
        </w:rPr>
        <w:t xml:space="preserve">Av. </w:t>
      </w:r>
      <w:r w:rsidR="003E43F0">
        <w:rPr>
          <w:b/>
        </w:rPr>
        <w:t>………………..</w:t>
      </w:r>
    </w:p>
    <w:p w:rsidR="00634995" w:rsidRDefault="005A0066">
      <w:pPr>
        <w:jc w:val="right"/>
      </w:pPr>
      <w:r>
        <w:rPr>
          <w:color w:val="5A5957"/>
        </w:rPr>
        <w:t>[İmza]</w:t>
      </w:r>
    </w:p>
    <w:p w:rsidR="00634995" w:rsidRDefault="005A0066">
      <w:r>
        <w:rPr>
          <w:sz w:val="18"/>
        </w:rPr>
        <w:t>Ekler: (1) Vekâletname ve doldurulmuş TSPB başvuru formu; (2) Karşı tarafa yapılan başvuru ve alındı belgesi; (3) Karşı tarafın cevabı (varsa); (4) Hesap ekstreleri</w:t>
      </w:r>
      <w:r>
        <w:rPr>
          <w:sz w:val="18"/>
        </w:rPr>
        <w:t xml:space="preserve"> ve dekontlar; (5) İade talimatı kayıtları ve ekran görüntüleri; (6) Çerçeve sözleşme ve uygunluk testi; (7) Yazışmalar; (8) Zarar hesaplama tablosu.</w:t>
      </w:r>
      <w:r>
        <w:br w:type="page"/>
      </w:r>
    </w:p>
    <w:p w:rsidR="00634995" w:rsidRPr="003E43F0" w:rsidRDefault="005A0066">
      <w:pPr>
        <w:keepNext/>
        <w:pBdr>
          <w:bottom w:val="single" w:sz="6" w:space="1" w:color="0C4E54"/>
        </w:pBdr>
        <w:spacing w:before="240"/>
        <w:rPr>
          <w:color w:val="C00000"/>
        </w:rPr>
      </w:pPr>
      <w:r w:rsidRPr="003E43F0">
        <w:rPr>
          <w:b/>
          <w:color w:val="C00000"/>
          <w:sz w:val="23"/>
        </w:rPr>
        <w:lastRenderedPageBreak/>
        <w:t>BÖLÜM D — KULLANIM NOTU VE KAYNAKLAR</w:t>
      </w:r>
    </w:p>
    <w:p w:rsidR="00634995" w:rsidRPr="003E43F0" w:rsidRDefault="005A0066">
      <w:pPr>
        <w:rPr>
          <w:color w:val="C00000"/>
        </w:rPr>
      </w:pPr>
      <w:proofErr w:type="gramStart"/>
      <w:r w:rsidRPr="003E43F0">
        <w:rPr>
          <w:color w:val="C00000"/>
          <w:sz w:val="19"/>
        </w:rPr>
        <w:t>Bu bölüm başvurunun parçası değildir; göndermeden önce çıkarılmalıdı</w:t>
      </w:r>
      <w:r w:rsidRPr="003E43F0">
        <w:rPr>
          <w:color w:val="C00000"/>
          <w:sz w:val="19"/>
        </w:rPr>
        <w:t>r.</w:t>
      </w:r>
      <w:proofErr w:type="gramEnd"/>
    </w:p>
    <w:p w:rsidR="00634995" w:rsidRPr="003E43F0" w:rsidRDefault="003E43F0">
      <w:pPr>
        <w:keepNext/>
        <w:spacing w:after="60"/>
        <w:rPr>
          <w:color w:val="C00000"/>
        </w:rPr>
      </w:pPr>
      <w:r w:rsidRPr="003E43F0">
        <w:rPr>
          <w:b/>
          <w:color w:val="C00000"/>
        </w:rPr>
        <w:t>1</w:t>
      </w:r>
      <w:r w:rsidR="005A0066" w:rsidRPr="003E43F0">
        <w:rPr>
          <w:b/>
          <w:color w:val="C00000"/>
        </w:rPr>
        <w:t>. Dikkat edilecekler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200"/>
      </w:tblGrid>
      <w:tr w:rsidR="003E43F0" w:rsidRPr="003E43F0">
        <w:trPr>
          <w:jc w:val="center"/>
        </w:trPr>
        <w:tc>
          <w:tcPr>
            <w:tcW w:w="2041" w:type="dxa"/>
            <w:shd w:val="clear" w:color="auto" w:fill="0C4E54"/>
          </w:tcPr>
          <w:p w:rsidR="00634995" w:rsidRPr="003E43F0" w:rsidRDefault="005A0066">
            <w:pPr>
              <w:rPr>
                <w:color w:val="C00000"/>
              </w:rPr>
            </w:pPr>
            <w:r w:rsidRPr="003E43F0">
              <w:rPr>
                <w:b/>
                <w:color w:val="C00000"/>
                <w:sz w:val="19"/>
              </w:rPr>
              <w:t>Konu</w:t>
            </w:r>
          </w:p>
        </w:tc>
        <w:tc>
          <w:tcPr>
            <w:tcW w:w="7200" w:type="dxa"/>
            <w:shd w:val="clear" w:color="auto" w:fill="0C4E54"/>
          </w:tcPr>
          <w:p w:rsidR="00634995" w:rsidRPr="003E43F0" w:rsidRDefault="005A0066">
            <w:pPr>
              <w:rPr>
                <w:color w:val="C00000"/>
              </w:rPr>
            </w:pPr>
            <w:r w:rsidRPr="003E43F0">
              <w:rPr>
                <w:b/>
                <w:color w:val="C00000"/>
                <w:sz w:val="19"/>
              </w:rPr>
              <w:t>Açıklama</w:t>
            </w:r>
          </w:p>
        </w:tc>
      </w:tr>
      <w:tr w:rsidR="003E43F0" w:rsidRPr="003E43F0">
        <w:trPr>
          <w:jc w:val="center"/>
        </w:trPr>
        <w:tc>
          <w:tcPr>
            <w:tcW w:w="2041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proofErr w:type="spellStart"/>
            <w:r w:rsidRPr="003E43F0">
              <w:rPr>
                <w:color w:val="C00000"/>
                <w:sz w:val="19"/>
              </w:rPr>
              <w:t>Diğer</w:t>
            </w:r>
            <w:proofErr w:type="spellEnd"/>
            <w:r w:rsidRPr="003E43F0">
              <w:rPr>
                <w:color w:val="C00000"/>
                <w:sz w:val="19"/>
              </w:rPr>
              <w:t xml:space="preserve"> </w:t>
            </w:r>
            <w:proofErr w:type="spellStart"/>
            <w:r w:rsidRPr="003E43F0">
              <w:rPr>
                <w:color w:val="C00000"/>
                <w:sz w:val="19"/>
              </w:rPr>
              <w:t>yollarla</w:t>
            </w:r>
            <w:proofErr w:type="spellEnd"/>
            <w:r w:rsidRPr="003E43F0">
              <w:rPr>
                <w:color w:val="C00000"/>
                <w:sz w:val="19"/>
              </w:rPr>
              <w:t xml:space="preserve"> </w:t>
            </w:r>
            <w:proofErr w:type="spellStart"/>
            <w:r w:rsidRPr="003E43F0">
              <w:rPr>
                <w:color w:val="C00000"/>
                <w:sz w:val="19"/>
              </w:rPr>
              <w:t>ilişki</w:t>
            </w:r>
            <w:proofErr w:type="spellEnd"/>
          </w:p>
        </w:tc>
        <w:tc>
          <w:tcPr>
            <w:tcW w:w="7200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r w:rsidRPr="003E43F0">
              <w:rPr>
                <w:color w:val="C00000"/>
                <w:sz w:val="19"/>
              </w:rPr>
              <w:t xml:space="preserve">Aynı karşı tarafa aynı konuda dava açılırsa Hakem Heyeti başvurusu incelenmez. Kurucu PYŞ ve yöneticilere karşı tazminat davası ile savcılık şikâyeti ayrı taraflara </w:t>
            </w:r>
            <w:r w:rsidRPr="003E43F0">
              <w:rPr>
                <w:color w:val="C00000"/>
                <w:sz w:val="19"/>
              </w:rPr>
              <w:t>yöneldiği için bu yolla birlikte yürütülebilir; ancak dağıtıcıya karşı dava, Heyet süreci tamamlandıktan sonra açılmalıdır.</w:t>
            </w:r>
          </w:p>
        </w:tc>
      </w:tr>
      <w:tr w:rsidR="003E43F0" w:rsidRPr="003E43F0">
        <w:trPr>
          <w:jc w:val="center"/>
        </w:trPr>
        <w:tc>
          <w:tcPr>
            <w:tcW w:w="2041" w:type="dxa"/>
            <w:shd w:val="clear" w:color="auto" w:fill="F4F7F7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proofErr w:type="spellStart"/>
            <w:r w:rsidRPr="003E43F0">
              <w:rPr>
                <w:color w:val="C00000"/>
                <w:sz w:val="19"/>
              </w:rPr>
              <w:t>Zamanaşımı</w:t>
            </w:r>
            <w:proofErr w:type="spellEnd"/>
          </w:p>
        </w:tc>
        <w:tc>
          <w:tcPr>
            <w:tcW w:w="7200" w:type="dxa"/>
            <w:shd w:val="clear" w:color="auto" w:fill="F4F7F7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r w:rsidRPr="003E43F0">
              <w:rPr>
                <w:color w:val="C00000"/>
                <w:sz w:val="19"/>
              </w:rPr>
              <w:t xml:space="preserve">Hakem Heyeti başvurusunun zamanaşımını kesip kesmediği tartışmalıdır. Zamanaşımı riski doğacaksa dava veya arabuluculuk </w:t>
            </w:r>
            <w:r w:rsidRPr="003E43F0">
              <w:rPr>
                <w:color w:val="C00000"/>
                <w:sz w:val="19"/>
              </w:rPr>
              <w:t>yolu zamanında işletilmelidir.</w:t>
            </w:r>
          </w:p>
        </w:tc>
      </w:tr>
      <w:tr w:rsidR="003E43F0" w:rsidRPr="003E43F0">
        <w:trPr>
          <w:jc w:val="center"/>
        </w:trPr>
        <w:tc>
          <w:tcPr>
            <w:tcW w:w="2041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proofErr w:type="spellStart"/>
            <w:r w:rsidRPr="003E43F0">
              <w:rPr>
                <w:color w:val="C00000"/>
                <w:sz w:val="19"/>
              </w:rPr>
              <w:t>Tutar</w:t>
            </w:r>
            <w:proofErr w:type="spellEnd"/>
            <w:r w:rsidRPr="003E43F0">
              <w:rPr>
                <w:color w:val="C00000"/>
                <w:sz w:val="19"/>
              </w:rPr>
              <w:t xml:space="preserve"> </w:t>
            </w:r>
            <w:proofErr w:type="spellStart"/>
            <w:r w:rsidRPr="003E43F0">
              <w:rPr>
                <w:color w:val="C00000"/>
                <w:sz w:val="19"/>
              </w:rPr>
              <w:t>sınırı</w:t>
            </w:r>
            <w:proofErr w:type="spellEnd"/>
          </w:p>
        </w:tc>
        <w:tc>
          <w:tcPr>
            <w:tcW w:w="7200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r w:rsidRPr="003E43F0">
              <w:rPr>
                <w:color w:val="C00000"/>
                <w:sz w:val="19"/>
              </w:rPr>
              <w:t>186.000 TL’yi aşan taleplerde karar üyeyi fiilen bağlamayabilir; bu durumda Heyet kararı, sonraki dava için güçlü bir delil işlevi görür.</w:t>
            </w:r>
          </w:p>
        </w:tc>
      </w:tr>
      <w:tr w:rsidR="003E43F0" w:rsidRPr="003E43F0">
        <w:trPr>
          <w:jc w:val="center"/>
        </w:trPr>
        <w:tc>
          <w:tcPr>
            <w:tcW w:w="2041" w:type="dxa"/>
            <w:shd w:val="clear" w:color="auto" w:fill="F4F7F7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proofErr w:type="spellStart"/>
            <w:r w:rsidRPr="003E43F0">
              <w:rPr>
                <w:color w:val="C00000"/>
                <w:sz w:val="19"/>
              </w:rPr>
              <w:t>İspat</w:t>
            </w:r>
            <w:proofErr w:type="spellEnd"/>
          </w:p>
        </w:tc>
        <w:tc>
          <w:tcPr>
            <w:tcW w:w="7200" w:type="dxa"/>
            <w:shd w:val="clear" w:color="auto" w:fill="F4F7F7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r w:rsidRPr="003E43F0">
              <w:rPr>
                <w:color w:val="C00000"/>
                <w:sz w:val="19"/>
              </w:rPr>
              <w:t>İade talimatının saati ve uygunluk testi kayıtları belirleyicidir.</w:t>
            </w:r>
            <w:r w:rsidRPr="003E43F0">
              <w:rPr>
                <w:color w:val="C00000"/>
                <w:sz w:val="19"/>
              </w:rPr>
              <w:t xml:space="preserve"> Mobil uygulama bildirimleri ve ekran görüntüleri hemen kaydedilmelidir.</w:t>
            </w:r>
          </w:p>
        </w:tc>
      </w:tr>
      <w:tr w:rsidR="00634995" w:rsidRPr="003E43F0">
        <w:trPr>
          <w:jc w:val="center"/>
        </w:trPr>
        <w:tc>
          <w:tcPr>
            <w:tcW w:w="2041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proofErr w:type="spellStart"/>
            <w:r w:rsidRPr="003E43F0">
              <w:rPr>
                <w:color w:val="C00000"/>
                <w:sz w:val="19"/>
              </w:rPr>
              <w:t>Başvuru</w:t>
            </w:r>
            <w:proofErr w:type="spellEnd"/>
            <w:r w:rsidRPr="003E43F0">
              <w:rPr>
                <w:color w:val="C00000"/>
                <w:sz w:val="19"/>
              </w:rPr>
              <w:t xml:space="preserve"> </w:t>
            </w:r>
            <w:proofErr w:type="spellStart"/>
            <w:r w:rsidRPr="003E43F0">
              <w:rPr>
                <w:color w:val="C00000"/>
                <w:sz w:val="19"/>
              </w:rPr>
              <w:t>yolu</w:t>
            </w:r>
            <w:proofErr w:type="spellEnd"/>
          </w:p>
        </w:tc>
        <w:tc>
          <w:tcPr>
            <w:tcW w:w="7200" w:type="dxa"/>
          </w:tcPr>
          <w:p w:rsidR="00634995" w:rsidRPr="003E43F0" w:rsidRDefault="005A0066">
            <w:pPr>
              <w:spacing w:after="20" w:line="252" w:lineRule="auto"/>
              <w:jc w:val="left"/>
              <w:rPr>
                <w:color w:val="C00000"/>
              </w:rPr>
            </w:pPr>
            <w:r w:rsidRPr="003E43F0">
              <w:rPr>
                <w:color w:val="C00000"/>
                <w:sz w:val="19"/>
              </w:rPr>
              <w:t>Başvuru formu posta, faks veya e-posta ile TSPB’ye gönderilebilir; form ücretsizdir. Üyeye başvuru elden, iadeli taahhütlü posta, KEP veya üyenin internet sitesindeki uy</w:t>
            </w:r>
            <w:r w:rsidRPr="003E43F0">
              <w:rPr>
                <w:color w:val="C00000"/>
                <w:sz w:val="19"/>
              </w:rPr>
              <w:t>uşmazlık bildirim sistemi üzerinden yapılabilir.</w:t>
            </w:r>
          </w:p>
        </w:tc>
      </w:tr>
    </w:tbl>
    <w:p w:rsidR="00634995" w:rsidRPr="003E43F0" w:rsidRDefault="00634995">
      <w:pPr>
        <w:spacing w:after="0"/>
        <w:rPr>
          <w:color w:val="C00000"/>
        </w:rPr>
      </w:pPr>
    </w:p>
    <w:p w:rsidR="00634995" w:rsidRDefault="00634995" w:rsidP="003E43F0">
      <w:pPr>
        <w:pStyle w:val="ListeMaddemi"/>
        <w:numPr>
          <w:ilvl w:val="0"/>
          <w:numId w:val="0"/>
        </w:numPr>
        <w:spacing w:after="20"/>
        <w:ind w:left="360"/>
        <w:jc w:val="left"/>
      </w:pPr>
      <w:bookmarkStart w:id="0" w:name="_GoBack"/>
      <w:bookmarkEnd w:id="0"/>
    </w:p>
    <w:sectPr w:rsidR="00634995" w:rsidSect="00034616">
      <w:footerReference w:type="default" r:id="rId9"/>
      <w:pgSz w:w="11906" w:h="16838"/>
      <w:pgMar w:top="1247" w:right="124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066" w:rsidRDefault="005A0066">
      <w:pPr>
        <w:spacing w:after="0" w:line="240" w:lineRule="auto"/>
      </w:pPr>
      <w:r>
        <w:separator/>
      </w:r>
    </w:p>
  </w:endnote>
  <w:endnote w:type="continuationSeparator" w:id="0">
    <w:p w:rsidR="005A0066" w:rsidRDefault="005A0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995" w:rsidRDefault="005A0066">
    <w:pPr>
      <w:pStyle w:val="Altbilgi"/>
      <w:jc w:val="center"/>
    </w:pPr>
    <w:r>
      <w:rPr>
        <w:color w:val="5A5957"/>
        <w:sz w:val="16"/>
      </w:rPr>
      <w:t xml:space="preserve">TSPB Müşteri Uyuşmazlıkları Hakem Heyeti Başvurusu  |  Hazırlayan: Av. Şahin Baran  |  Sayfa </w:t>
    </w:r>
    <w:r>
      <w:fldChar w:fldCharType="begin"/>
    </w:r>
    <w:r>
      <w:instrText>PAGE</w:instrText>
    </w:r>
    <w:r>
      <w:fldChar w:fldCharType="separate"/>
    </w:r>
    <w:r w:rsidR="003E43F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066" w:rsidRDefault="005A0066">
      <w:pPr>
        <w:spacing w:after="0" w:line="240" w:lineRule="auto"/>
      </w:pPr>
      <w:r>
        <w:separator/>
      </w:r>
    </w:p>
  </w:footnote>
  <w:footnote w:type="continuationSeparator" w:id="0">
    <w:p w:rsidR="005A0066" w:rsidRDefault="005A0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43F0"/>
    <w:rsid w:val="005A0066"/>
    <w:rsid w:val="0063499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C90296-4B84-4E68-A4A0-38A39137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1713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11456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2</cp:revision>
  <dcterms:created xsi:type="dcterms:W3CDTF">2013-12-23T23:15:00Z</dcterms:created>
  <dcterms:modified xsi:type="dcterms:W3CDTF">2026-09-23T13:48:00Z</dcterms:modified>
  <cp:category/>
</cp:coreProperties>
</file>